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49C0" w14:textId="23124904" w:rsidR="00DF4808" w:rsidRPr="00F8457E" w:rsidRDefault="00AE567D" w:rsidP="00DF4808">
      <w:sdt>
        <w:sdtPr>
          <w:rPr>
            <w:rStyle w:val="Kop1Char"/>
          </w:rPr>
          <w:alias w:val="Titre"/>
          <w:tag w:val=""/>
          <w:id w:val="1007017528"/>
          <w:lock w:val="sdtLocked"/>
          <w:placeholder>
            <w:docPart w:val="A7197D7F7DB242069731820146AAE210"/>
          </w:placeholder>
          <w:dataBinding w:prefixMappings="xmlns:ns0='http://purl.org/dc/elements/1.1/' xmlns:ns1='http://schemas.openxmlformats.org/package/2006/metadata/core-properties' " w:xpath="/ns1:coreProperties[1]/ns0:title[1]" w:storeItemID="{6C3C8BC8-F283-45AE-878A-BAB7291924A1}"/>
          <w:text w:multiLine="1"/>
        </w:sdtPr>
        <w:sdtEndPr>
          <w:rPr>
            <w:rStyle w:val="Kop1Char"/>
          </w:rPr>
        </w:sdtEndPr>
        <w:sdtContent>
          <w:r w:rsidR="00C97C2C">
            <w:rPr>
              <w:rStyle w:val="Kop1Char"/>
            </w:rPr>
            <w:t>A</w:t>
          </w:r>
          <w:r w:rsidR="00367735">
            <w:rPr>
              <w:rStyle w:val="Kop1Char"/>
            </w:rPr>
            <w:t>pproche des déchets d’emballages médicaux et hospitaliers</w:t>
          </w:r>
          <w:r w:rsidR="00C97C2C">
            <w:rPr>
              <w:rStyle w:val="Kop1Char"/>
            </w:rPr>
            <w:br/>
          </w:r>
          <w:proofErr w:type="spellStart"/>
          <w:r w:rsidR="00367735">
            <w:rPr>
              <w:rStyle w:val="Kop1Char"/>
            </w:rPr>
            <w:t>Better</w:t>
          </w:r>
          <w:proofErr w:type="spellEnd"/>
          <w:r w:rsidR="00367735">
            <w:rPr>
              <w:rStyle w:val="Kop1Char"/>
            </w:rPr>
            <w:t xml:space="preserve"> </w:t>
          </w:r>
          <w:proofErr w:type="spellStart"/>
          <w:r w:rsidR="00367735">
            <w:rPr>
              <w:rStyle w:val="Kop1Char"/>
            </w:rPr>
            <w:t>safe</w:t>
          </w:r>
          <w:proofErr w:type="spellEnd"/>
          <w:r w:rsidR="00367735">
            <w:rPr>
              <w:rStyle w:val="Kop1Char"/>
            </w:rPr>
            <w:t xml:space="preserve"> </w:t>
          </w:r>
          <w:proofErr w:type="spellStart"/>
          <w:r w:rsidR="00367735">
            <w:rPr>
              <w:rStyle w:val="Kop1Char"/>
            </w:rPr>
            <w:t>than</w:t>
          </w:r>
          <w:proofErr w:type="spellEnd"/>
          <w:r w:rsidR="00367735">
            <w:rPr>
              <w:rStyle w:val="Kop1Char"/>
            </w:rPr>
            <w:t xml:space="preserve"> </w:t>
          </w:r>
          <w:proofErr w:type="spellStart"/>
          <w:r w:rsidR="00367735">
            <w:rPr>
              <w:rStyle w:val="Kop1Char"/>
            </w:rPr>
            <w:t>sorry</w:t>
          </w:r>
          <w:proofErr w:type="spellEnd"/>
        </w:sdtContent>
      </w:sdt>
    </w:p>
    <w:p w14:paraId="0E2E3048" w14:textId="77777777" w:rsidR="009E4CDF" w:rsidRPr="00F8457E" w:rsidRDefault="009E4CDF" w:rsidP="00DF4808"/>
    <w:p w14:paraId="6587A75C" w14:textId="20DBAC21" w:rsidR="00AE567D" w:rsidRPr="00AE567D" w:rsidRDefault="00AE567D" w:rsidP="009E4CDF">
      <w:pPr>
        <w:pStyle w:val="Kop2"/>
        <w:rPr>
          <w:b/>
          <w:bCs/>
        </w:rPr>
      </w:pPr>
      <w:r w:rsidRPr="00AE567D">
        <w:rPr>
          <w:b/>
          <w:bCs/>
        </w:rPr>
        <w:t>VERSION WALLONIE</w:t>
      </w:r>
    </w:p>
    <w:p w14:paraId="615E3727" w14:textId="77777777" w:rsidR="00AE567D" w:rsidRDefault="00AE567D" w:rsidP="009E4CDF">
      <w:pPr>
        <w:pStyle w:val="Kop2"/>
      </w:pPr>
    </w:p>
    <w:p w14:paraId="1CFEF25B" w14:textId="26673B64" w:rsidR="009E4CDF" w:rsidRPr="00F8457E" w:rsidRDefault="00A50E93" w:rsidP="009E4CDF">
      <w:pPr>
        <w:pStyle w:val="Kop2"/>
      </w:pPr>
      <w:r w:rsidRPr="00F8457E">
        <w:t>Contexte</w:t>
      </w:r>
    </w:p>
    <w:p w14:paraId="713A76FB" w14:textId="3A525185" w:rsidR="00642C3A" w:rsidRPr="00F8457E" w:rsidRDefault="002716A4" w:rsidP="00DF4808">
      <w:r w:rsidRPr="00F8457E">
        <w:t xml:space="preserve">Il n’est pas toujours aisé de savoir si les emballages issus des hôpitaux, des maisons de repos et de soins ou - plus largement - jetés dans le cadre de soins médicaux (à domicile) relèvent des </w:t>
      </w:r>
      <w:r w:rsidRPr="00F8457E">
        <w:rPr>
          <w:i/>
          <w:iCs/>
        </w:rPr>
        <w:t>déchets d’emballages industriels</w:t>
      </w:r>
      <w:r w:rsidRPr="00F8457E">
        <w:t xml:space="preserve"> ou </w:t>
      </w:r>
      <w:r w:rsidRPr="00F8457E">
        <w:rPr>
          <w:i/>
          <w:iCs/>
        </w:rPr>
        <w:t>ménagers</w:t>
      </w:r>
      <w:r w:rsidRPr="00F8457E">
        <w:t>. Une approche pragmatique s’impose dès lors, à la mesure du trieur bienveillant sur le terrain, et qui, par conséquent, ne se base pas sur cette distinction.</w:t>
      </w:r>
    </w:p>
    <w:p w14:paraId="4ADE5FA9" w14:textId="40965082" w:rsidR="005867DC" w:rsidRPr="00F8457E" w:rsidRDefault="00CA2295" w:rsidP="00DF4808">
      <w:r w:rsidRPr="00F8457E">
        <w:t>Le spectre de ce type de déchets d’emballages est en outre très large et souvent spécifique et « de niche ». C’est plutôt un cadre d’évaluation applicable dans la pratique qui s’impose alors, reposant sur plusieurs points de départ et principes de base, en lieu et place d’un guide de tri « hermétique » qui, par définition, n’est pas complet.</w:t>
      </w:r>
    </w:p>
    <w:p w14:paraId="58F8EB5B" w14:textId="258EF01D" w:rsidR="002834A5" w:rsidRPr="00F8457E" w:rsidRDefault="002834A5" w:rsidP="00DF4808"/>
    <w:p w14:paraId="551C2C8A" w14:textId="03ABC730" w:rsidR="00FE2CF3" w:rsidRPr="00F8457E" w:rsidRDefault="00324970" w:rsidP="00E642B0">
      <w:pPr>
        <w:pStyle w:val="Kop2"/>
      </w:pPr>
      <w:r w:rsidRPr="00F8457E">
        <w:t>Points de départ</w:t>
      </w:r>
    </w:p>
    <w:p w14:paraId="34E57E34" w14:textId="7005286B" w:rsidR="00FE2CF3" w:rsidRPr="00F8457E" w:rsidRDefault="00095F5E" w:rsidP="00FE2CF3">
      <w:pPr>
        <w:pStyle w:val="Lijstalinea"/>
        <w:numPr>
          <w:ilvl w:val="0"/>
          <w:numId w:val="1"/>
        </w:numPr>
        <w:ind w:left="284" w:hanging="284"/>
      </w:pPr>
      <w:r w:rsidRPr="00F8457E">
        <w:t>L’emballage en question répond autant que possible à l’approche ménagère des règles de tri des PMC.</w:t>
      </w:r>
    </w:p>
    <w:p w14:paraId="10EC829E" w14:textId="2AF74EF0" w:rsidR="00324970" w:rsidRPr="00F8457E" w:rsidRDefault="004C2399" w:rsidP="00FE2CF3">
      <w:pPr>
        <w:pStyle w:val="Lijstalinea"/>
        <w:numPr>
          <w:ilvl w:val="0"/>
          <w:numId w:val="1"/>
        </w:numPr>
        <w:ind w:left="284" w:hanging="284"/>
      </w:pPr>
      <w:r w:rsidRPr="00F8457E">
        <w:t>Viser une approche pragmatique, faisable et applicable de manière univoque sur le terrain.</w:t>
      </w:r>
    </w:p>
    <w:p w14:paraId="3EB78C56" w14:textId="3F262248" w:rsidR="004C2399" w:rsidRPr="00F8457E" w:rsidRDefault="0023366E" w:rsidP="00FE2CF3">
      <w:pPr>
        <w:pStyle w:val="Lijstalinea"/>
        <w:numPr>
          <w:ilvl w:val="0"/>
          <w:numId w:val="1"/>
        </w:numPr>
        <w:ind w:left="284" w:hanging="284"/>
      </w:pPr>
      <w:r w:rsidRPr="00F8457E">
        <w:t>Viser un recyclage maximal.</w:t>
      </w:r>
    </w:p>
    <w:p w14:paraId="2C403C8F" w14:textId="3620B8DF" w:rsidR="000E1959" w:rsidRPr="00F8457E" w:rsidRDefault="0023366E" w:rsidP="003010C5">
      <w:pPr>
        <w:pStyle w:val="Lijstalinea"/>
        <w:numPr>
          <w:ilvl w:val="0"/>
          <w:numId w:val="1"/>
        </w:numPr>
        <w:ind w:left="284" w:hanging="284"/>
        <w:rPr>
          <w:spacing w:val="-2"/>
        </w:rPr>
      </w:pPr>
      <w:r w:rsidRPr="00F8457E">
        <w:rPr>
          <w:spacing w:val="-2"/>
        </w:rPr>
        <w:t xml:space="preserve">Mais sans oublier le principe final </w:t>
      </w:r>
      <w:r w:rsidRPr="00F8457E">
        <w:rPr>
          <w:b/>
          <w:bCs/>
          <w:spacing w:val="-2"/>
        </w:rPr>
        <w:t>« </w:t>
      </w:r>
      <w:proofErr w:type="spellStart"/>
      <w:r w:rsidRPr="00F8457E">
        <w:rPr>
          <w:b/>
          <w:bCs/>
          <w:spacing w:val="-2"/>
        </w:rPr>
        <w:t>better</w:t>
      </w:r>
      <w:proofErr w:type="spellEnd"/>
      <w:r w:rsidRPr="00F8457E">
        <w:rPr>
          <w:b/>
          <w:bCs/>
          <w:spacing w:val="-2"/>
        </w:rPr>
        <w:t xml:space="preserve"> </w:t>
      </w:r>
      <w:proofErr w:type="spellStart"/>
      <w:r w:rsidRPr="00F8457E">
        <w:rPr>
          <w:b/>
          <w:bCs/>
          <w:spacing w:val="-2"/>
        </w:rPr>
        <w:t>safe</w:t>
      </w:r>
      <w:proofErr w:type="spellEnd"/>
      <w:r w:rsidRPr="00F8457E">
        <w:rPr>
          <w:b/>
          <w:bCs/>
          <w:spacing w:val="-2"/>
        </w:rPr>
        <w:t xml:space="preserve"> </w:t>
      </w:r>
      <w:proofErr w:type="spellStart"/>
      <w:r w:rsidRPr="00F8457E">
        <w:rPr>
          <w:b/>
          <w:bCs/>
          <w:spacing w:val="-2"/>
        </w:rPr>
        <w:t>than</w:t>
      </w:r>
      <w:proofErr w:type="spellEnd"/>
      <w:r w:rsidRPr="00F8457E">
        <w:rPr>
          <w:b/>
          <w:bCs/>
          <w:spacing w:val="-2"/>
        </w:rPr>
        <w:t xml:space="preserve"> </w:t>
      </w:r>
      <w:proofErr w:type="spellStart"/>
      <w:r w:rsidRPr="00F8457E">
        <w:rPr>
          <w:b/>
          <w:bCs/>
          <w:spacing w:val="-2"/>
        </w:rPr>
        <w:t>sorry</w:t>
      </w:r>
      <w:proofErr w:type="spellEnd"/>
      <w:r w:rsidRPr="00F8457E">
        <w:rPr>
          <w:b/>
          <w:bCs/>
          <w:spacing w:val="-2"/>
        </w:rPr>
        <w:t> »</w:t>
      </w:r>
      <w:r w:rsidRPr="00F8457E">
        <w:rPr>
          <w:spacing w:val="-2"/>
        </w:rPr>
        <w:t>. Et ce, toujours dans le but de protéger le personnel soignant, le personnel d’entretien, le collecteur, le trieur et quiconque entre en contact avec ce flux</w:t>
      </w:r>
      <w:r w:rsidR="00367735">
        <w:rPr>
          <w:spacing w:val="-2"/>
        </w:rPr>
        <w:t>.</w:t>
      </w:r>
    </w:p>
    <w:p w14:paraId="10F3331A" w14:textId="77777777" w:rsidR="000E1959" w:rsidRPr="00F8457E" w:rsidRDefault="000E1959" w:rsidP="000E1959"/>
    <w:p w14:paraId="7D0D74A4" w14:textId="3BAFE200" w:rsidR="003010C5" w:rsidRPr="00F8457E" w:rsidRDefault="000E1959" w:rsidP="000E1959">
      <w:pPr>
        <w:rPr>
          <w:sz w:val="28"/>
          <w:szCs w:val="28"/>
        </w:rPr>
      </w:pPr>
      <w:r w:rsidRPr="00F8457E">
        <w:rPr>
          <w:sz w:val="28"/>
        </w:rPr>
        <w:t>Remarque préliminaire importante</w:t>
      </w:r>
    </w:p>
    <w:p w14:paraId="2ECEFEFC" w14:textId="3C818BFD" w:rsidR="00331FD7" w:rsidRPr="00F8457E" w:rsidRDefault="00623156" w:rsidP="000E1959">
      <w:r w:rsidRPr="00F8457E">
        <w:t>L’approche généralement en vigueur en termes de tri des déchets dans le secteur passe avant les règles de tri présentées ci-après. Ces règles s’appliquent exclusivement au tri des PMC.</w:t>
      </w:r>
    </w:p>
    <w:p w14:paraId="75C26DE7" w14:textId="3A13AB9E" w:rsidR="00A023BD" w:rsidRPr="00F8457E" w:rsidRDefault="00A023BD" w:rsidP="00A023BD">
      <w:pPr>
        <w:pStyle w:val="Lijstalinea"/>
        <w:ind w:left="284"/>
      </w:pPr>
    </w:p>
    <w:p w14:paraId="1FAB9EBF" w14:textId="15F5D0C4" w:rsidR="000A5A7B" w:rsidRPr="00F8457E" w:rsidRDefault="000A5A7B" w:rsidP="00A023BD">
      <w:pPr>
        <w:pStyle w:val="Lijstalinea"/>
        <w:ind w:left="284"/>
      </w:pPr>
    </w:p>
    <w:p w14:paraId="1256BEB5" w14:textId="24DECE84" w:rsidR="000A5A7B" w:rsidRPr="00F8457E" w:rsidRDefault="000A5A7B" w:rsidP="00A023BD">
      <w:pPr>
        <w:pStyle w:val="Lijstalinea"/>
        <w:ind w:left="284"/>
      </w:pPr>
    </w:p>
    <w:p w14:paraId="12A5709A" w14:textId="6FDD84D5" w:rsidR="000A5A7B" w:rsidRPr="00F8457E" w:rsidRDefault="000A5A7B" w:rsidP="00A023BD">
      <w:pPr>
        <w:pStyle w:val="Lijstalinea"/>
        <w:ind w:left="284"/>
      </w:pPr>
    </w:p>
    <w:p w14:paraId="203DC4C2" w14:textId="7CB2172C" w:rsidR="000A5A7B" w:rsidRPr="00F8457E" w:rsidRDefault="000A5A7B" w:rsidP="00A023BD">
      <w:pPr>
        <w:pStyle w:val="Lijstalinea"/>
        <w:ind w:left="284"/>
      </w:pPr>
    </w:p>
    <w:p w14:paraId="572FE4E0" w14:textId="636C42CF" w:rsidR="000A5A7B" w:rsidRPr="00F8457E" w:rsidRDefault="000A5A7B" w:rsidP="00A023BD">
      <w:pPr>
        <w:pStyle w:val="Lijstalinea"/>
        <w:ind w:left="284"/>
      </w:pPr>
    </w:p>
    <w:p w14:paraId="4B4BEC72" w14:textId="3ABAA4CF" w:rsidR="000A5A7B" w:rsidRPr="00F8457E" w:rsidRDefault="000A5A7B" w:rsidP="00A023BD">
      <w:pPr>
        <w:pStyle w:val="Lijstalinea"/>
        <w:ind w:left="284"/>
      </w:pPr>
    </w:p>
    <w:p w14:paraId="25517969" w14:textId="41AB6D50" w:rsidR="000A5A7B" w:rsidRPr="00F8457E" w:rsidRDefault="000A5A7B" w:rsidP="00A023BD">
      <w:pPr>
        <w:pStyle w:val="Lijstalinea"/>
        <w:ind w:left="284"/>
      </w:pPr>
    </w:p>
    <w:p w14:paraId="688D6A6E" w14:textId="1438EC09" w:rsidR="000A5A7B" w:rsidRPr="00F8457E" w:rsidRDefault="000A5A7B" w:rsidP="00A023BD">
      <w:pPr>
        <w:pStyle w:val="Lijstalinea"/>
        <w:ind w:left="284"/>
      </w:pPr>
    </w:p>
    <w:p w14:paraId="66C3C239" w14:textId="7EFF044E" w:rsidR="000A5A7B" w:rsidRPr="00F8457E" w:rsidRDefault="000A5A7B" w:rsidP="00A023BD">
      <w:pPr>
        <w:pStyle w:val="Lijstalinea"/>
        <w:ind w:left="284"/>
      </w:pPr>
    </w:p>
    <w:p w14:paraId="1855315B" w14:textId="17531DD8" w:rsidR="000A5A7B" w:rsidRPr="00F8457E" w:rsidRDefault="000A5A7B" w:rsidP="00A023BD">
      <w:pPr>
        <w:pStyle w:val="Lijstalinea"/>
        <w:ind w:left="284"/>
      </w:pPr>
    </w:p>
    <w:p w14:paraId="6AAC9A45" w14:textId="7AA728BF" w:rsidR="000A5A7B" w:rsidRPr="00F8457E" w:rsidRDefault="000A5A7B" w:rsidP="00A023BD">
      <w:pPr>
        <w:pStyle w:val="Lijstalinea"/>
        <w:ind w:left="284"/>
      </w:pPr>
    </w:p>
    <w:p w14:paraId="79D325DD" w14:textId="34608081" w:rsidR="000A5A7B" w:rsidRPr="00F8457E" w:rsidRDefault="000A5A7B" w:rsidP="00A023BD">
      <w:pPr>
        <w:pStyle w:val="Lijstalinea"/>
        <w:ind w:left="284"/>
      </w:pPr>
    </w:p>
    <w:p w14:paraId="752E9A05" w14:textId="17D7A4C2" w:rsidR="000A5A7B" w:rsidRPr="00F8457E" w:rsidRDefault="000A5A7B" w:rsidP="00A023BD">
      <w:pPr>
        <w:pStyle w:val="Lijstalinea"/>
        <w:ind w:left="284"/>
      </w:pPr>
    </w:p>
    <w:p w14:paraId="46D87287" w14:textId="78AE8CE4" w:rsidR="000A5A7B" w:rsidRPr="00F8457E" w:rsidRDefault="000A5A7B" w:rsidP="00A023BD">
      <w:pPr>
        <w:pStyle w:val="Lijstalinea"/>
        <w:ind w:left="284"/>
      </w:pPr>
    </w:p>
    <w:p w14:paraId="5B5FFD97" w14:textId="0C905FF4" w:rsidR="000A5A7B" w:rsidRPr="00F8457E" w:rsidRDefault="000A5A7B" w:rsidP="00A023BD">
      <w:pPr>
        <w:pStyle w:val="Lijstalinea"/>
        <w:ind w:left="284"/>
      </w:pPr>
    </w:p>
    <w:p w14:paraId="19BDBBCE" w14:textId="1EDA8F1A" w:rsidR="000A5A7B" w:rsidRPr="00F8457E" w:rsidRDefault="000A5A7B" w:rsidP="00A023BD">
      <w:pPr>
        <w:pStyle w:val="Lijstalinea"/>
        <w:ind w:left="284"/>
      </w:pPr>
    </w:p>
    <w:p w14:paraId="41B093F0" w14:textId="2E284092" w:rsidR="000A5A7B" w:rsidRPr="00F8457E" w:rsidRDefault="000A5A7B" w:rsidP="00A023BD">
      <w:pPr>
        <w:pStyle w:val="Lijstalinea"/>
        <w:ind w:left="284"/>
      </w:pPr>
    </w:p>
    <w:p w14:paraId="5941E778" w14:textId="5059DCE8" w:rsidR="000A5A7B" w:rsidRPr="00F8457E" w:rsidRDefault="000A5A7B" w:rsidP="00A023BD">
      <w:pPr>
        <w:pStyle w:val="Lijstalinea"/>
        <w:ind w:left="284"/>
      </w:pPr>
    </w:p>
    <w:p w14:paraId="227C82DB" w14:textId="1DB4C57B" w:rsidR="000A5A7B" w:rsidRPr="00F8457E" w:rsidRDefault="000A5A7B" w:rsidP="00A023BD">
      <w:pPr>
        <w:pStyle w:val="Lijstalinea"/>
        <w:ind w:left="284"/>
      </w:pPr>
    </w:p>
    <w:p w14:paraId="3B08C2D2" w14:textId="5A26C289" w:rsidR="000A5A7B" w:rsidRPr="00F8457E" w:rsidRDefault="000A5A7B" w:rsidP="00A023BD">
      <w:pPr>
        <w:pStyle w:val="Lijstalinea"/>
        <w:ind w:left="284"/>
      </w:pPr>
    </w:p>
    <w:p w14:paraId="1C01F037" w14:textId="11693DC8" w:rsidR="000A5A7B" w:rsidRPr="00F8457E" w:rsidRDefault="000A5A7B" w:rsidP="00A023BD">
      <w:pPr>
        <w:pStyle w:val="Lijstalinea"/>
        <w:ind w:left="284"/>
      </w:pPr>
    </w:p>
    <w:p w14:paraId="0D73E64B" w14:textId="32568D69" w:rsidR="000A5A7B" w:rsidRPr="00F8457E" w:rsidRDefault="000A5A7B" w:rsidP="00A023BD">
      <w:pPr>
        <w:pStyle w:val="Lijstalinea"/>
        <w:ind w:left="284"/>
      </w:pPr>
    </w:p>
    <w:p w14:paraId="0BB07346" w14:textId="5BFB8198" w:rsidR="00324970" w:rsidRPr="00F8457E" w:rsidRDefault="00324970" w:rsidP="00324970">
      <w:pPr>
        <w:pStyle w:val="Kop2"/>
      </w:pPr>
      <w:r w:rsidRPr="00F8457E">
        <w:t>Principes de base</w:t>
      </w:r>
    </w:p>
    <w:p w14:paraId="35C29393" w14:textId="77777777" w:rsidR="00343767" w:rsidRPr="00F8457E" w:rsidRDefault="00343767" w:rsidP="00CA2295"/>
    <w:p w14:paraId="173796FA" w14:textId="6465F05A" w:rsidR="00F43360" w:rsidRPr="00F8457E" w:rsidRDefault="00F43360" w:rsidP="00CA2295">
      <w:pPr>
        <w:rPr>
          <w:b/>
          <w:bCs/>
        </w:rPr>
      </w:pPr>
      <w:r w:rsidRPr="00F8457E">
        <w:rPr>
          <w:b/>
          <w:highlight w:val="green"/>
        </w:rPr>
        <w:t>Autorisés dans les PMC</w:t>
      </w:r>
    </w:p>
    <w:p w14:paraId="29B6A1B3" w14:textId="3E3BDA29" w:rsidR="00F43360" w:rsidRPr="00F8457E" w:rsidRDefault="00695474" w:rsidP="00F43360">
      <w:pPr>
        <w:pStyle w:val="Lijstalinea"/>
        <w:numPr>
          <w:ilvl w:val="0"/>
          <w:numId w:val="1"/>
        </w:numPr>
        <w:ind w:left="284" w:hanging="284"/>
      </w:pPr>
      <w:r w:rsidRPr="00F8457E">
        <w:t>Les emballages qui répondent clairement à la définition des PMC :</w:t>
      </w:r>
    </w:p>
    <w:p w14:paraId="192D2B0B" w14:textId="473C12CA" w:rsidR="00984A92" w:rsidRPr="00F8457E" w:rsidRDefault="00984A92" w:rsidP="00984A92">
      <w:pPr>
        <w:pStyle w:val="Lijstalinea"/>
        <w:numPr>
          <w:ilvl w:val="0"/>
          <w:numId w:val="4"/>
        </w:numPr>
      </w:pPr>
      <w:r w:rsidRPr="00F8457E">
        <w:t xml:space="preserve">Emballages en </w:t>
      </w:r>
      <w:r w:rsidRPr="00F8457E">
        <w:rPr>
          <w:u w:val="single"/>
        </w:rPr>
        <w:t>P</w:t>
      </w:r>
      <w:r w:rsidRPr="00F8457E">
        <w:t>lastique, tels que les bouteilles, flacons, pots, raviers, barquettes, sachets, blisters, tubes, films (</w:t>
      </w:r>
      <w:r w:rsidRPr="00367735">
        <w:rPr>
          <w:sz w:val="16"/>
          <w:szCs w:val="18"/>
        </w:rPr>
        <w:t>dont le film qui entoure l’emballage de 6 bouteilles en plastique ou le suremballage en plastique de produits ou articles individuels</w:t>
      </w:r>
      <w:r w:rsidRPr="00F8457E">
        <w:t>) ;</w:t>
      </w:r>
    </w:p>
    <w:p w14:paraId="43128082" w14:textId="16FB93CD" w:rsidR="00410199" w:rsidRPr="00F8457E" w:rsidRDefault="00410199" w:rsidP="00984A92">
      <w:pPr>
        <w:pStyle w:val="Lijstalinea"/>
        <w:numPr>
          <w:ilvl w:val="0"/>
          <w:numId w:val="4"/>
        </w:numPr>
      </w:pPr>
      <w:r w:rsidRPr="00F8457E">
        <w:t xml:space="preserve">Emballages en </w:t>
      </w:r>
      <w:r w:rsidRPr="00F8457E">
        <w:rPr>
          <w:u w:val="single"/>
        </w:rPr>
        <w:t>M</w:t>
      </w:r>
      <w:r w:rsidRPr="00F8457E">
        <w:t>étal, tels que les canettes de boisson, boîtes de conserve, barquettes, raviers, couvercles ou bouchons, aérosols ;</w:t>
      </w:r>
    </w:p>
    <w:p w14:paraId="0265BDDD" w14:textId="552F0400" w:rsidR="0071788A" w:rsidRPr="00F8457E" w:rsidRDefault="0071788A" w:rsidP="00984A92">
      <w:pPr>
        <w:pStyle w:val="Lijstalinea"/>
        <w:numPr>
          <w:ilvl w:val="0"/>
          <w:numId w:val="4"/>
        </w:numPr>
      </w:pPr>
      <w:r w:rsidRPr="00F8457E">
        <w:rPr>
          <w:u w:val="single"/>
        </w:rPr>
        <w:t>C</w:t>
      </w:r>
      <w:r w:rsidRPr="00F8457E">
        <w:t>artons à boisson ;</w:t>
      </w:r>
    </w:p>
    <w:p w14:paraId="2FB647AA" w14:textId="5A85E54E" w:rsidR="00F43360" w:rsidRPr="00F8457E" w:rsidRDefault="008827FA" w:rsidP="00F43360">
      <w:pPr>
        <w:pStyle w:val="Lijstalinea"/>
        <w:numPr>
          <w:ilvl w:val="0"/>
          <w:numId w:val="1"/>
        </w:numPr>
        <w:ind w:left="284" w:hanging="284"/>
      </w:pPr>
      <w:r w:rsidRPr="00F8457E">
        <w:t>Emballages (PMC) semblables aux emballages utilisés dans un contexte ménager (par ex. canettes, bouteilles en plastique, flacons pour savons, lotions et gels, etc.)</w:t>
      </w:r>
      <w:r w:rsidR="00F8457E" w:rsidRPr="00F8457E">
        <w:t>.</w:t>
      </w:r>
    </w:p>
    <w:p w14:paraId="272AC0FD" w14:textId="6BC4B7FD" w:rsidR="00F43360" w:rsidRPr="00F8457E" w:rsidRDefault="008C6165" w:rsidP="00F43360">
      <w:pPr>
        <w:pStyle w:val="Lijstalinea"/>
        <w:numPr>
          <w:ilvl w:val="0"/>
          <w:numId w:val="1"/>
        </w:numPr>
        <w:ind w:left="284" w:hanging="284"/>
      </w:pPr>
      <w:r w:rsidRPr="00F8457E">
        <w:t>Les emballages sont totalement vides.</w:t>
      </w:r>
    </w:p>
    <w:p w14:paraId="3617756B" w14:textId="653C3240" w:rsidR="001866B9" w:rsidRPr="00F8457E" w:rsidRDefault="001866B9" w:rsidP="001866B9"/>
    <w:p w14:paraId="5160A8BA" w14:textId="6FE21E98" w:rsidR="001866B9" w:rsidRPr="00F8457E" w:rsidRDefault="001866B9" w:rsidP="001866B9">
      <w:pPr>
        <w:rPr>
          <w:b/>
          <w:bCs/>
        </w:rPr>
      </w:pPr>
      <w:r w:rsidRPr="00F8457E">
        <w:rPr>
          <w:b/>
          <w:highlight w:val="red"/>
        </w:rPr>
        <w:t>Ne sont pas autorisés dans les PMC</w:t>
      </w:r>
      <w:r w:rsidRPr="00F8457E">
        <w:rPr>
          <w:b/>
        </w:rPr>
        <w:t xml:space="preserve"> </w:t>
      </w:r>
      <w:r w:rsidRPr="00F8457E">
        <w:t xml:space="preserve">(voir par ex. </w:t>
      </w:r>
      <w:r w:rsidR="008C13A8" w:rsidRPr="00DF5690">
        <w:rPr>
          <w:highlight w:val="yellow"/>
        </w:rPr>
        <w:t xml:space="preserve">déchets </w:t>
      </w:r>
      <w:r w:rsidR="00DF5690" w:rsidRPr="00DF5690">
        <w:rPr>
          <w:highlight w:val="yellow"/>
        </w:rPr>
        <w:t>B1 et B2)</w:t>
      </w:r>
    </w:p>
    <w:p w14:paraId="2FD9D30B" w14:textId="3A8B3CE0" w:rsidR="00727B33" w:rsidRPr="00F8457E" w:rsidRDefault="00727B33" w:rsidP="5BF6616C">
      <w:pPr>
        <w:pStyle w:val="Lijstalinea"/>
        <w:numPr>
          <w:ilvl w:val="0"/>
          <w:numId w:val="1"/>
        </w:numPr>
        <w:ind w:left="284" w:hanging="284"/>
      </w:pPr>
      <w:r w:rsidRPr="00F8457E">
        <w:t>Les emballages qui sont considérés comme des déchets médicaux dangereux (par ex. les emballages et/ou éléments d’emballage liés à des objets tranchants tels que des aiguilles ou autre) ou qui sont souillés par des fluides corporels tels que du sang.</w:t>
      </w:r>
    </w:p>
    <w:p w14:paraId="4F71BF88" w14:textId="064807A4" w:rsidR="5BF6616C" w:rsidRPr="00F8457E" w:rsidRDefault="5BF6616C" w:rsidP="5BF6616C">
      <w:pPr>
        <w:pStyle w:val="Lijstalinea"/>
        <w:numPr>
          <w:ilvl w:val="0"/>
          <w:numId w:val="1"/>
        </w:numPr>
        <w:ind w:left="284" w:hanging="284"/>
      </w:pPr>
      <w:r w:rsidRPr="00F8457E">
        <w:rPr>
          <w:rFonts w:ascii="Calibri Light" w:hAnsi="Calibri Light"/>
        </w:rPr>
        <w:t>Les emballages qui peuvent être considérés comme (une partie d’) un dispositif médical, tels que les seringues et perfusions.</w:t>
      </w:r>
    </w:p>
    <w:p w14:paraId="76E434DE" w14:textId="648D8AD6" w:rsidR="00DE4135" w:rsidRPr="00F8457E" w:rsidRDefault="002C7AA7" w:rsidP="005210DB">
      <w:pPr>
        <w:pStyle w:val="Lijstalinea"/>
        <w:numPr>
          <w:ilvl w:val="0"/>
          <w:numId w:val="1"/>
        </w:numPr>
        <w:ind w:left="284" w:hanging="284"/>
      </w:pPr>
      <w:r w:rsidRPr="00F8457E">
        <w:t>Les emballages portant des données médicales ou des données de patients.</w:t>
      </w:r>
    </w:p>
    <w:p w14:paraId="5F461724" w14:textId="4F8C18C6" w:rsidR="00821031" w:rsidRPr="00F8457E" w:rsidRDefault="00821031" w:rsidP="00821031">
      <w:pPr>
        <w:pStyle w:val="Lijstalinea"/>
        <w:numPr>
          <w:ilvl w:val="0"/>
          <w:numId w:val="1"/>
        </w:numPr>
        <w:ind w:left="284" w:hanging="284"/>
      </w:pPr>
      <w:r w:rsidRPr="00F8457E">
        <w:t>Les PMC «</w:t>
      </w:r>
      <w:r w:rsidR="00F8457E" w:rsidRPr="00F8457E">
        <w:t> </w:t>
      </w:r>
      <w:r w:rsidRPr="00F8457E">
        <w:t>classiques</w:t>
      </w:r>
      <w:r w:rsidR="00F8457E" w:rsidRPr="00F8457E">
        <w:t> </w:t>
      </w:r>
      <w:r w:rsidRPr="00F8457E">
        <w:t>» consommés par des patients qui, en raison de leur contagiosité - voir ADR 2.2.62 Classe 6.2 matières infectieuses (contagieuses) - sont isolés et dont les déchets constituent une voie de transmission.</w:t>
      </w:r>
    </w:p>
    <w:p w14:paraId="0E214582" w14:textId="21DF9C5D" w:rsidR="00BB7E2D" w:rsidRPr="00F8457E" w:rsidRDefault="00BB7E2D" w:rsidP="00BB7E2D">
      <w:pPr>
        <w:pStyle w:val="Lijstalinea"/>
        <w:numPr>
          <w:ilvl w:val="0"/>
          <w:numId w:val="1"/>
        </w:numPr>
        <w:ind w:left="284" w:hanging="284"/>
      </w:pPr>
      <w:r w:rsidRPr="00F8457E">
        <w:t>Les emballages présentant au moins 1 de ces pictogrammes de danger (corrosif / oxydant - toxicité aiguë (tête de mort) / toxicité chronique (poumons) // (GHS05 - GHS03- GHS06- GHS08).</w:t>
      </w:r>
    </w:p>
    <w:p w14:paraId="593937DD" w14:textId="7F2AC864" w:rsidR="008D3BC6" w:rsidRPr="00F8457E" w:rsidRDefault="00BB7E2D" w:rsidP="00206A60">
      <w:pPr>
        <w:pStyle w:val="Lijstalinea"/>
        <w:numPr>
          <w:ilvl w:val="0"/>
          <w:numId w:val="1"/>
        </w:numPr>
        <w:ind w:left="284" w:hanging="284"/>
      </w:pPr>
      <w:r w:rsidRPr="00F8457E">
        <w:t>Les emballages présentant un bouchon de sécurité enfant.</w:t>
      </w:r>
    </w:p>
    <w:p w14:paraId="2756A6EE" w14:textId="04A4A2DD" w:rsidR="00137428" w:rsidRPr="00F8457E" w:rsidRDefault="004E5F63" w:rsidP="00206A60">
      <w:pPr>
        <w:pStyle w:val="Lijstalinea"/>
        <w:numPr>
          <w:ilvl w:val="0"/>
          <w:numId w:val="1"/>
        </w:numPr>
        <w:ind w:left="284" w:hanging="284"/>
      </w:pPr>
      <w:r w:rsidRPr="00F8457E">
        <w:t>Les emballages constitués d’un mélange de matériaux qui ne peuvent être séparés, par ex. un plastique et une couche d’aluminium, tels que les emballages blister de médicaments.</w:t>
      </w:r>
    </w:p>
    <w:p w14:paraId="4CC8AC0E" w14:textId="7579B652" w:rsidR="00220732" w:rsidRPr="00F8457E" w:rsidRDefault="00FB3D8B" w:rsidP="00220732">
      <w:pPr>
        <w:pStyle w:val="Lijstalinea"/>
        <w:numPr>
          <w:ilvl w:val="0"/>
          <w:numId w:val="1"/>
        </w:numPr>
        <w:ind w:left="284" w:hanging="284"/>
      </w:pPr>
      <w:r w:rsidRPr="00F8457E">
        <w:t>Les emballages (par ex. bidons) de plus de 8 litres.</w:t>
      </w:r>
    </w:p>
    <w:p w14:paraId="6446521D" w14:textId="64137D94" w:rsidR="00220732" w:rsidRPr="00F8457E" w:rsidRDefault="004E25D6" w:rsidP="00220732">
      <w:pPr>
        <w:pStyle w:val="Lijstalinea"/>
        <w:numPr>
          <w:ilvl w:val="0"/>
          <w:numId w:val="1"/>
        </w:numPr>
        <w:ind w:left="284" w:hanging="284"/>
      </w:pPr>
      <w:r w:rsidRPr="00F8457E">
        <w:t>Les grands films en plastique (dont films de palettisation) et les grands sacs en plastique (à trier dans un sac spécifique pour films en plastique)</w:t>
      </w:r>
    </w:p>
    <w:p w14:paraId="6CDDCDBE" w14:textId="1D894FFF" w:rsidR="00206A60" w:rsidRPr="00F8457E" w:rsidRDefault="005867DC" w:rsidP="00782743">
      <w:pPr>
        <w:pStyle w:val="Lijstalinea"/>
        <w:numPr>
          <w:ilvl w:val="0"/>
          <w:numId w:val="1"/>
        </w:numPr>
        <w:ind w:left="284" w:hanging="284"/>
      </w:pPr>
      <w:r w:rsidRPr="00F8457E">
        <w:t>Les objets en plastique qui ne sont pas des emballages, comme des gants jetables, des appareils et dispositifs, etc.</w:t>
      </w:r>
    </w:p>
    <w:p w14:paraId="5D1EAC28" w14:textId="77777777" w:rsidR="00782743" w:rsidRPr="00F8457E" w:rsidRDefault="00782743" w:rsidP="00AB27A2">
      <w:pPr>
        <w:pStyle w:val="Kop2"/>
        <w:rPr>
          <w:b/>
          <w:bCs/>
          <w:sz w:val="22"/>
          <w:szCs w:val="22"/>
        </w:rPr>
      </w:pPr>
    </w:p>
    <w:p w14:paraId="65E0FFF6" w14:textId="69723315" w:rsidR="003010C5" w:rsidRPr="00F8457E" w:rsidRDefault="0052595A" w:rsidP="00AB27A2">
      <w:pPr>
        <w:pStyle w:val="Kop2"/>
        <w:rPr>
          <w:b/>
          <w:bCs/>
          <w:sz w:val="22"/>
          <w:szCs w:val="22"/>
        </w:rPr>
      </w:pPr>
      <w:r w:rsidRPr="00F8457E">
        <w:rPr>
          <w:b/>
          <w:sz w:val="22"/>
        </w:rPr>
        <w:t>Point d’attention</w:t>
      </w:r>
    </w:p>
    <w:p w14:paraId="23D3021E" w14:textId="43A15C63" w:rsidR="003010C5" w:rsidRPr="00F8457E" w:rsidRDefault="00324377" w:rsidP="00AA744C">
      <w:pPr>
        <w:pStyle w:val="Lijstalinea"/>
        <w:numPr>
          <w:ilvl w:val="0"/>
          <w:numId w:val="1"/>
        </w:numPr>
        <w:ind w:left="284" w:hanging="284"/>
      </w:pPr>
      <w:r w:rsidRPr="00F8457E">
        <w:t>Les emballages qui, en raison de la nature du produit/contenu, constituent un risque potentiel, par ex. en raison de la présence de résidus de substances actives dangereuses, ne font pas partie des PMC.</w:t>
      </w:r>
    </w:p>
    <w:p w14:paraId="093376D5" w14:textId="6185A66B" w:rsidR="003010C5" w:rsidRPr="00F8457E" w:rsidRDefault="003010C5" w:rsidP="5BF6616C">
      <w:pPr>
        <w:rPr>
          <w:rFonts w:ascii="Calibri Light" w:eastAsia="Calibri" w:hAnsi="Calibri Light" w:cs="Calibri Light"/>
          <w:szCs w:val="22"/>
        </w:rPr>
      </w:pPr>
    </w:p>
    <w:p w14:paraId="1AFAD531" w14:textId="23745010" w:rsidR="003010C5" w:rsidRPr="00F8457E" w:rsidRDefault="003010C5" w:rsidP="00782743"/>
    <w:sectPr w:rsidR="003010C5" w:rsidRPr="00F8457E" w:rsidSect="005D7C97">
      <w:headerReference w:type="default" r:id="rId11"/>
      <w:footerReference w:type="default" r:id="rId12"/>
      <w:headerReference w:type="first" r:id="rId13"/>
      <w:footerReference w:type="first" r:id="rId14"/>
      <w:pgSz w:w="11900" w:h="16840"/>
      <w:pgMar w:top="992" w:right="992" w:bottom="1843" w:left="992" w:header="709" w:footer="485" w:gutter="0"/>
      <w:pgNumType w:start="1"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E38D" w14:textId="77777777" w:rsidR="00B854B2" w:rsidRPr="00F8457E" w:rsidRDefault="00B854B2" w:rsidP="00893400">
      <w:r w:rsidRPr="00F8457E">
        <w:separator/>
      </w:r>
    </w:p>
  </w:endnote>
  <w:endnote w:type="continuationSeparator" w:id="0">
    <w:p w14:paraId="45A235A9" w14:textId="77777777" w:rsidR="00B854B2" w:rsidRPr="00F8457E" w:rsidRDefault="00B854B2" w:rsidP="00893400">
      <w:r w:rsidRPr="00F845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18"/>
        <w:szCs w:val="18"/>
      </w:rPr>
      <w:id w:val="1187256207"/>
      <w:docPartObj>
        <w:docPartGallery w:val="Page Numbers (Bottom of Page)"/>
        <w:docPartUnique/>
      </w:docPartObj>
    </w:sdtPr>
    <w:sdtEndPr>
      <w:rPr>
        <w:rStyle w:val="Paginanummer"/>
      </w:rPr>
    </w:sdtEndPr>
    <w:sdtContent>
      <w:p w14:paraId="2A2ED0F6" w14:textId="603ADD63" w:rsidR="009E4CDF" w:rsidRPr="00F8457E" w:rsidRDefault="009E4CDF" w:rsidP="009E4CDF">
        <w:pPr>
          <w:pStyle w:val="Voettekst"/>
          <w:framePr w:wrap="none" w:vAnchor="text" w:hAnchor="margin" w:xAlign="right" w:y="1"/>
          <w:rPr>
            <w:rStyle w:val="Paginanummer"/>
            <w:sz w:val="18"/>
            <w:szCs w:val="18"/>
          </w:rPr>
        </w:pPr>
        <w:r w:rsidRPr="00F8457E">
          <w:rPr>
            <w:rStyle w:val="Paginanummer"/>
            <w:sz w:val="18"/>
          </w:rPr>
          <w:fldChar w:fldCharType="begin"/>
        </w:r>
        <w:r w:rsidRPr="00F8457E">
          <w:rPr>
            <w:rStyle w:val="Paginanummer"/>
            <w:sz w:val="18"/>
          </w:rPr>
          <w:instrText xml:space="preserve"> PAGE </w:instrText>
        </w:r>
        <w:r w:rsidRPr="00F8457E">
          <w:rPr>
            <w:rStyle w:val="Paginanummer"/>
            <w:sz w:val="18"/>
          </w:rPr>
          <w:fldChar w:fldCharType="separate"/>
        </w:r>
        <w:r w:rsidR="00DF5690">
          <w:rPr>
            <w:rStyle w:val="Paginanummer"/>
            <w:noProof/>
            <w:sz w:val="18"/>
          </w:rPr>
          <w:t>2</w:t>
        </w:r>
        <w:r w:rsidRPr="00F8457E">
          <w:rPr>
            <w:rStyle w:val="Paginanummer"/>
            <w:sz w:val="18"/>
          </w:rPr>
          <w:fldChar w:fldCharType="end"/>
        </w:r>
      </w:p>
    </w:sdtContent>
  </w:sdt>
  <w:p w14:paraId="6113367F" w14:textId="31F3772E" w:rsidR="00893400" w:rsidRPr="00F8457E" w:rsidRDefault="009E4CDF" w:rsidP="009E4CDF">
    <w:pPr>
      <w:pStyle w:val="Voettekst"/>
      <w:ind w:right="360"/>
      <w:rPr>
        <w:sz w:val="18"/>
        <w:szCs w:val="18"/>
      </w:rPr>
    </w:pPr>
    <w:r w:rsidRPr="00F8457E">
      <w:rPr>
        <w:noProof/>
        <w:sz w:val="18"/>
        <w:lang w:val="fr-BE" w:eastAsia="fr-BE"/>
      </w:rPr>
      <w:drawing>
        <wp:anchor distT="0" distB="0" distL="114300" distR="114300" simplePos="0" relativeHeight="251667456" behindDoc="1" locked="0" layoutInCell="1" allowOverlap="1" wp14:anchorId="70D8FE3E" wp14:editId="4F9E86AF">
          <wp:simplePos x="0" y="0"/>
          <wp:positionH relativeFrom="page">
            <wp:posOffset>336320</wp:posOffset>
          </wp:positionH>
          <wp:positionV relativeFrom="paragraph">
            <wp:posOffset>-515067</wp:posOffset>
          </wp:positionV>
          <wp:extent cx="6868250" cy="356400"/>
          <wp:effectExtent l="0" t="0" r="0" b="5715"/>
          <wp:wrapNone/>
          <wp:docPr id="253" name="Afbeelding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Afbeelding 253"/>
                  <pic:cNvPicPr/>
                </pic:nvPicPr>
                <pic:blipFill>
                  <a:blip r:embed="rId1">
                    <a:extLst>
                      <a:ext uri="{28A0092B-C50C-407E-A947-70E740481C1C}">
                        <a14:useLocalDpi xmlns:a14="http://schemas.microsoft.com/office/drawing/2010/main" val="0"/>
                      </a:ext>
                    </a:extLst>
                  </a:blip>
                  <a:stretch>
                    <a:fillRect/>
                  </a:stretch>
                </pic:blipFill>
                <pic:spPr>
                  <a:xfrm>
                    <a:off x="0" y="0"/>
                    <a:ext cx="6868250" cy="356400"/>
                  </a:xfrm>
                  <a:prstGeom prst="rect">
                    <a:avLst/>
                  </a:prstGeom>
                </pic:spPr>
              </pic:pic>
            </a:graphicData>
          </a:graphic>
          <wp14:sizeRelH relativeFrom="margin">
            <wp14:pctWidth>0</wp14:pctWidth>
          </wp14:sizeRelH>
          <wp14:sizeRelV relativeFrom="margin">
            <wp14:pctHeight>0</wp14:pctHeight>
          </wp14:sizeRelV>
        </wp:anchor>
      </w:drawing>
    </w:r>
    <w:r w:rsidRPr="00F8457E">
      <w:rPr>
        <w:noProof/>
        <w:sz w:val="18"/>
        <w:lang w:val="fr-BE" w:eastAsia="fr-BE"/>
      </w:rPr>
      <w:drawing>
        <wp:anchor distT="0" distB="0" distL="114300" distR="114300" simplePos="0" relativeHeight="251669504" behindDoc="1" locked="0" layoutInCell="1" allowOverlap="1" wp14:anchorId="0FA1D2A6" wp14:editId="4E1AF36F">
          <wp:simplePos x="0" y="0"/>
          <wp:positionH relativeFrom="page">
            <wp:posOffset>336320</wp:posOffset>
          </wp:positionH>
          <wp:positionV relativeFrom="paragraph">
            <wp:posOffset>-515067</wp:posOffset>
          </wp:positionV>
          <wp:extent cx="6868250" cy="356400"/>
          <wp:effectExtent l="0" t="0" r="0" b="5715"/>
          <wp:wrapNone/>
          <wp:docPr id="3" name="Afbeelding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Afbeelding 253"/>
                  <pic:cNvPicPr/>
                </pic:nvPicPr>
                <pic:blipFill>
                  <a:blip r:embed="rId1">
                    <a:extLst>
                      <a:ext uri="{28A0092B-C50C-407E-A947-70E740481C1C}">
                        <a14:useLocalDpi xmlns:a14="http://schemas.microsoft.com/office/drawing/2010/main" val="0"/>
                      </a:ext>
                    </a:extLst>
                  </a:blip>
                  <a:stretch>
                    <a:fillRect/>
                  </a:stretch>
                </pic:blipFill>
                <pic:spPr>
                  <a:xfrm>
                    <a:off x="0" y="0"/>
                    <a:ext cx="6868250" cy="356400"/>
                  </a:xfrm>
                  <a:prstGeom prst="rect">
                    <a:avLst/>
                  </a:prstGeom>
                </pic:spPr>
              </pic:pic>
            </a:graphicData>
          </a:graphic>
          <wp14:sizeRelH relativeFrom="margin">
            <wp14:pctWidth>0</wp14:pctWidth>
          </wp14:sizeRelH>
          <wp14:sizeRelV relativeFrom="margin">
            <wp14:pctHeight>0</wp14:pctHeight>
          </wp14:sizeRelV>
        </wp:anchor>
      </w:drawing>
    </w:r>
    <w:r w:rsidRPr="00F8457E">
      <w:rPr>
        <w:sz w:val="18"/>
      </w:rPr>
      <w:t xml:space="preserve">Proposition d’approche des déchets d’emballages médicaux et hospitaliers - </w:t>
    </w:r>
    <w:proofErr w:type="spellStart"/>
    <w:r w:rsidRPr="00F8457E">
      <w:rPr>
        <w:b/>
        <w:sz w:val="18"/>
      </w:rPr>
      <w:t>Better</w:t>
    </w:r>
    <w:proofErr w:type="spellEnd"/>
    <w:r w:rsidRPr="00F8457E">
      <w:rPr>
        <w:b/>
        <w:sz w:val="18"/>
      </w:rPr>
      <w:t xml:space="preserve"> </w:t>
    </w:r>
    <w:proofErr w:type="spellStart"/>
    <w:r w:rsidRPr="00F8457E">
      <w:rPr>
        <w:b/>
        <w:sz w:val="18"/>
      </w:rPr>
      <w:t>safe</w:t>
    </w:r>
    <w:proofErr w:type="spellEnd"/>
    <w:r w:rsidRPr="00F8457E">
      <w:rPr>
        <w:b/>
        <w:sz w:val="18"/>
      </w:rPr>
      <w:t xml:space="preserve"> </w:t>
    </w:r>
    <w:proofErr w:type="spellStart"/>
    <w:r w:rsidRPr="00F8457E">
      <w:rPr>
        <w:b/>
        <w:sz w:val="18"/>
      </w:rPr>
      <w:t>than</w:t>
    </w:r>
    <w:proofErr w:type="spellEnd"/>
    <w:r w:rsidRPr="00F8457E">
      <w:rPr>
        <w:b/>
        <w:sz w:val="18"/>
      </w:rPr>
      <w:t xml:space="preserve"> </w:t>
    </w:r>
    <w:proofErr w:type="spellStart"/>
    <w:r w:rsidRPr="00F8457E">
      <w:rPr>
        <w:b/>
        <w:sz w:val="18"/>
      </w:rPr>
      <w:t>sorry</w:t>
    </w:r>
    <w:proofErr w:type="spellEnd"/>
    <w:r w:rsidR="00AE567D">
      <w:rPr>
        <w:b/>
        <w:sz w:val="18"/>
      </w:rPr>
      <w:t xml:space="preserve"> _ Version Wallonie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18"/>
        <w:szCs w:val="18"/>
      </w:rPr>
      <w:id w:val="-84072961"/>
      <w:docPartObj>
        <w:docPartGallery w:val="Page Numbers (Bottom of Page)"/>
        <w:docPartUnique/>
      </w:docPartObj>
    </w:sdtPr>
    <w:sdtEndPr>
      <w:rPr>
        <w:rStyle w:val="Paginanummer"/>
      </w:rPr>
    </w:sdtEndPr>
    <w:sdtContent>
      <w:p w14:paraId="5405A9FA" w14:textId="77777777" w:rsidR="001F42BE" w:rsidRPr="00F8457E" w:rsidRDefault="001F42BE" w:rsidP="001F42BE">
        <w:pPr>
          <w:pStyle w:val="Voettekst"/>
          <w:framePr w:wrap="none" w:vAnchor="text" w:hAnchor="margin" w:xAlign="right" w:y="1"/>
          <w:rPr>
            <w:rStyle w:val="Paginanummer"/>
            <w:sz w:val="18"/>
            <w:szCs w:val="18"/>
          </w:rPr>
        </w:pPr>
        <w:r w:rsidRPr="00F8457E">
          <w:rPr>
            <w:rStyle w:val="Paginanummer"/>
            <w:sz w:val="18"/>
          </w:rPr>
          <w:fldChar w:fldCharType="begin"/>
        </w:r>
        <w:r w:rsidRPr="00F8457E">
          <w:rPr>
            <w:rStyle w:val="Paginanummer"/>
            <w:sz w:val="18"/>
          </w:rPr>
          <w:instrText xml:space="preserve"> PAGE </w:instrText>
        </w:r>
        <w:r w:rsidRPr="00F8457E">
          <w:rPr>
            <w:rStyle w:val="Paginanummer"/>
            <w:sz w:val="18"/>
          </w:rPr>
          <w:fldChar w:fldCharType="separate"/>
        </w:r>
        <w:r w:rsidRPr="00F8457E">
          <w:rPr>
            <w:rStyle w:val="Paginanummer"/>
            <w:sz w:val="18"/>
          </w:rPr>
          <w:t>1</w:t>
        </w:r>
        <w:r w:rsidRPr="00F8457E">
          <w:rPr>
            <w:rStyle w:val="Paginanummer"/>
            <w:sz w:val="18"/>
          </w:rPr>
          <w:fldChar w:fldCharType="end"/>
        </w:r>
      </w:p>
    </w:sdtContent>
  </w:sdt>
  <w:p w14:paraId="7856BDE6" w14:textId="77777777" w:rsidR="0043537C" w:rsidRPr="00F8457E" w:rsidRDefault="00256E3F" w:rsidP="001F42BE">
    <w:pPr>
      <w:pStyle w:val="Voettekst"/>
      <w:ind w:right="360"/>
      <w:rPr>
        <w:sz w:val="18"/>
        <w:szCs w:val="18"/>
      </w:rPr>
    </w:pPr>
    <w:r w:rsidRPr="00F8457E">
      <w:rPr>
        <w:noProof/>
        <w:sz w:val="18"/>
        <w:lang w:val="fr-BE" w:eastAsia="fr-BE"/>
      </w:rPr>
      <w:drawing>
        <wp:anchor distT="0" distB="0" distL="114300" distR="114300" simplePos="0" relativeHeight="251663360" behindDoc="1" locked="0" layoutInCell="1" allowOverlap="1" wp14:anchorId="3EF65B42" wp14:editId="0C17B85D">
          <wp:simplePos x="0" y="0"/>
          <wp:positionH relativeFrom="page">
            <wp:posOffset>335915</wp:posOffset>
          </wp:positionH>
          <wp:positionV relativeFrom="paragraph">
            <wp:posOffset>-514985</wp:posOffset>
          </wp:positionV>
          <wp:extent cx="6868160" cy="356235"/>
          <wp:effectExtent l="0" t="0" r="8890" b="5715"/>
          <wp:wrapNone/>
          <wp:docPr id="251" name="Afbeelding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Afbeelding 251"/>
                  <pic:cNvPicPr/>
                </pic:nvPicPr>
                <pic:blipFill>
                  <a:blip r:embed="rId1">
                    <a:extLst>
                      <a:ext uri="{28A0092B-C50C-407E-A947-70E740481C1C}">
                        <a14:useLocalDpi xmlns:a14="http://schemas.microsoft.com/office/drawing/2010/main" val="0"/>
                      </a:ext>
                    </a:extLst>
                  </a:blip>
                  <a:stretch>
                    <a:fillRect/>
                  </a:stretch>
                </pic:blipFill>
                <pic:spPr>
                  <a:xfrm>
                    <a:off x="0" y="0"/>
                    <a:ext cx="6868160" cy="356235"/>
                  </a:xfrm>
                  <a:prstGeom prst="rect">
                    <a:avLst/>
                  </a:prstGeom>
                </pic:spPr>
              </pic:pic>
            </a:graphicData>
          </a:graphic>
          <wp14:sizeRelH relativeFrom="margin">
            <wp14:pctWidth>0</wp14:pctWidth>
          </wp14:sizeRelH>
          <wp14:sizeRelV relativeFrom="margin">
            <wp14:pctHeight>0</wp14:pctHeight>
          </wp14:sizeRelV>
        </wp:anchor>
      </w:drawing>
    </w:r>
    <w:r w:rsidR="00824811" w:rsidRPr="00F8457E">
      <w:fldChar w:fldCharType="begin"/>
    </w:r>
    <w:r w:rsidR="00824811" w:rsidRPr="00F8457E">
      <w:instrText xml:space="preserve"> MACROBUTTON  AcceptAllChangesInDocAndStopTracking "[ click here to type the subject ]" </w:instrText>
    </w:r>
    <w:r w:rsidR="00824811" w:rsidRPr="00F8457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2483" w14:textId="77777777" w:rsidR="00B854B2" w:rsidRPr="00F8457E" w:rsidRDefault="00B854B2" w:rsidP="00893400">
      <w:r w:rsidRPr="00F8457E">
        <w:separator/>
      </w:r>
    </w:p>
  </w:footnote>
  <w:footnote w:type="continuationSeparator" w:id="0">
    <w:p w14:paraId="13B3CB63" w14:textId="77777777" w:rsidR="00B854B2" w:rsidRPr="00F8457E" w:rsidRDefault="00B854B2" w:rsidP="00893400">
      <w:r w:rsidRPr="00F845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E2FE" w14:textId="77777777" w:rsidR="005D7C97" w:rsidRPr="00F8457E" w:rsidRDefault="005D7C97">
    <w:pPr>
      <w:pStyle w:val="Koptekst"/>
    </w:pPr>
    <w:r w:rsidRPr="00F8457E">
      <w:rPr>
        <w:noProof/>
        <w:lang w:val="fr-BE" w:eastAsia="fr-BE"/>
      </w:rPr>
      <w:drawing>
        <wp:inline distT="0" distB="0" distL="0" distR="0" wp14:anchorId="7EE04634" wp14:editId="7CF22742">
          <wp:extent cx="1584325" cy="57467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574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58DE" w14:textId="77777777" w:rsidR="002012B3" w:rsidRPr="00F8457E" w:rsidRDefault="0016684A">
    <w:pPr>
      <w:pStyle w:val="Koptekst"/>
    </w:pPr>
    <w:r w:rsidRPr="00F8457E">
      <w:rPr>
        <w:noProof/>
        <w:lang w:val="fr-BE" w:eastAsia="fr-BE"/>
      </w:rPr>
      <w:drawing>
        <wp:inline distT="0" distB="0" distL="0" distR="0" wp14:anchorId="7AF9CDF3" wp14:editId="5C5EE14E">
          <wp:extent cx="1584325" cy="5746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574675"/>
                  </a:xfrm>
                  <a:prstGeom prst="rect">
                    <a:avLst/>
                  </a:prstGeom>
                  <a:noFill/>
                  <a:ln>
                    <a:noFill/>
                  </a:ln>
                </pic:spPr>
              </pic:pic>
            </a:graphicData>
          </a:graphic>
        </wp:inline>
      </w:drawing>
    </w:r>
  </w:p>
  <w:p w14:paraId="18642A6C" w14:textId="77777777" w:rsidR="005B5925" w:rsidRPr="00F8457E" w:rsidRDefault="005B5925">
    <w:pPr>
      <w:pStyle w:val="Koptekst"/>
    </w:pPr>
  </w:p>
  <w:p w14:paraId="55BC28AE" w14:textId="77777777" w:rsidR="005B5925" w:rsidRPr="00F8457E" w:rsidRDefault="005B59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1666F"/>
    <w:multiLevelType w:val="hybridMultilevel"/>
    <w:tmpl w:val="1E76107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3F6693B2">
      <w:start w:val="1"/>
      <w:numFmt w:val="bullet"/>
      <w:lvlText w:val="­"/>
      <w:lvlJc w:val="left"/>
      <w:pPr>
        <w:ind w:left="1800" w:hanging="360"/>
      </w:pPr>
      <w:rPr>
        <w:rFonts w:ascii="Calibri" w:hAnsi="Calibri" w:hint="default"/>
      </w:rPr>
    </w:lvl>
    <w:lvl w:ilvl="3" w:tplc="08130005">
      <w:start w:val="1"/>
      <w:numFmt w:val="bullet"/>
      <w:lvlText w:val=""/>
      <w:lvlJc w:val="left"/>
      <w:pPr>
        <w:ind w:left="2520" w:hanging="360"/>
      </w:pPr>
      <w:rPr>
        <w:rFonts w:ascii="Wingdings" w:hAnsi="Wingdings"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63F049CE"/>
    <w:multiLevelType w:val="hybridMultilevel"/>
    <w:tmpl w:val="F90E25E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3F6693B2">
      <w:start w:val="1"/>
      <w:numFmt w:val="bullet"/>
      <w:lvlText w:val="­"/>
      <w:lvlJc w:val="left"/>
      <w:pPr>
        <w:ind w:left="1800" w:hanging="360"/>
      </w:pPr>
      <w:rPr>
        <w:rFonts w:ascii="Calibri" w:hAnsi="Calibri"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79ED3B20"/>
    <w:multiLevelType w:val="hybridMultilevel"/>
    <w:tmpl w:val="F6B2924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3F6693B2">
      <w:start w:val="1"/>
      <w:numFmt w:val="bullet"/>
      <w:lvlText w:val="­"/>
      <w:lvlJc w:val="left"/>
      <w:pPr>
        <w:ind w:left="1800" w:hanging="360"/>
      </w:pPr>
      <w:rPr>
        <w:rFonts w:ascii="Calibri" w:hAnsi="Calibri" w:hint="default"/>
      </w:rPr>
    </w:lvl>
    <w:lvl w:ilvl="3" w:tplc="ED9AD09E">
      <w:start w:val="1"/>
      <w:numFmt w:val="bullet"/>
      <w:lvlText w:val=""/>
      <w:lvlJc w:val="left"/>
      <w:pPr>
        <w:ind w:left="2520" w:hanging="360"/>
      </w:pPr>
      <w:rPr>
        <w:rFonts w:ascii="Wingdings" w:hAnsi="Wingdings"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7A9627AE"/>
    <w:multiLevelType w:val="hybridMultilevel"/>
    <w:tmpl w:val="E81895C2"/>
    <w:lvl w:ilvl="0" w:tplc="2A1250B0">
      <w:numFmt w:val="bullet"/>
      <w:lvlText w:val="-"/>
      <w:lvlJc w:val="left"/>
      <w:pPr>
        <w:ind w:left="644" w:hanging="360"/>
      </w:pPr>
      <w:rPr>
        <w:rFonts w:ascii="Calibri Light" w:eastAsiaTheme="minorHAnsi" w:hAnsi="Calibri Light" w:cs="Calibri Light"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num w:numId="1" w16cid:durableId="158467509">
    <w:abstractNumId w:val="1"/>
  </w:num>
  <w:num w:numId="2" w16cid:durableId="467404560">
    <w:abstractNumId w:val="0"/>
  </w:num>
  <w:num w:numId="3" w16cid:durableId="1615406976">
    <w:abstractNumId w:val="2"/>
  </w:num>
  <w:num w:numId="4" w16cid:durableId="1859468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58"/>
    <w:rsid w:val="00003001"/>
    <w:rsid w:val="00005508"/>
    <w:rsid w:val="00005C8E"/>
    <w:rsid w:val="00013C6B"/>
    <w:rsid w:val="000165FF"/>
    <w:rsid w:val="0001798D"/>
    <w:rsid w:val="00025EA1"/>
    <w:rsid w:val="00033629"/>
    <w:rsid w:val="00044AC3"/>
    <w:rsid w:val="0005043B"/>
    <w:rsid w:val="00050B4C"/>
    <w:rsid w:val="00052DF2"/>
    <w:rsid w:val="000825CF"/>
    <w:rsid w:val="00090C67"/>
    <w:rsid w:val="00095F5E"/>
    <w:rsid w:val="000A350D"/>
    <w:rsid w:val="000A5A7B"/>
    <w:rsid w:val="000B2188"/>
    <w:rsid w:val="000B320A"/>
    <w:rsid w:val="000E1959"/>
    <w:rsid w:val="000E214E"/>
    <w:rsid w:val="000F5979"/>
    <w:rsid w:val="001121E2"/>
    <w:rsid w:val="0011227E"/>
    <w:rsid w:val="00137428"/>
    <w:rsid w:val="001413C6"/>
    <w:rsid w:val="0016684A"/>
    <w:rsid w:val="00172846"/>
    <w:rsid w:val="00173237"/>
    <w:rsid w:val="001774A1"/>
    <w:rsid w:val="001866B9"/>
    <w:rsid w:val="00190931"/>
    <w:rsid w:val="001A60C4"/>
    <w:rsid w:val="001B7950"/>
    <w:rsid w:val="001F42BE"/>
    <w:rsid w:val="001F7908"/>
    <w:rsid w:val="002012B3"/>
    <w:rsid w:val="00204C95"/>
    <w:rsid w:val="00206A60"/>
    <w:rsid w:val="00210EF9"/>
    <w:rsid w:val="00220732"/>
    <w:rsid w:val="0023366E"/>
    <w:rsid w:val="002354BD"/>
    <w:rsid w:val="00236857"/>
    <w:rsid w:val="00252499"/>
    <w:rsid w:val="00256E3F"/>
    <w:rsid w:val="0026314A"/>
    <w:rsid w:val="00266C52"/>
    <w:rsid w:val="002716A4"/>
    <w:rsid w:val="002764B8"/>
    <w:rsid w:val="002834A5"/>
    <w:rsid w:val="00292CF9"/>
    <w:rsid w:val="00294A5F"/>
    <w:rsid w:val="002976C4"/>
    <w:rsid w:val="002C1B4C"/>
    <w:rsid w:val="002C7AA7"/>
    <w:rsid w:val="002D4C2E"/>
    <w:rsid w:val="002F75A4"/>
    <w:rsid w:val="003010C5"/>
    <w:rsid w:val="003016FE"/>
    <w:rsid w:val="00312679"/>
    <w:rsid w:val="00324377"/>
    <w:rsid w:val="00324970"/>
    <w:rsid w:val="00331DB4"/>
    <w:rsid w:val="00331FD7"/>
    <w:rsid w:val="00343767"/>
    <w:rsid w:val="00367735"/>
    <w:rsid w:val="00380EDC"/>
    <w:rsid w:val="0039080A"/>
    <w:rsid w:val="00397445"/>
    <w:rsid w:val="003C46E5"/>
    <w:rsid w:val="003C73B2"/>
    <w:rsid w:val="003E43F6"/>
    <w:rsid w:val="003E4E41"/>
    <w:rsid w:val="00400692"/>
    <w:rsid w:val="004038EA"/>
    <w:rsid w:val="00405055"/>
    <w:rsid w:val="00410199"/>
    <w:rsid w:val="00421D45"/>
    <w:rsid w:val="00433ED8"/>
    <w:rsid w:val="0043537C"/>
    <w:rsid w:val="00475904"/>
    <w:rsid w:val="0049013C"/>
    <w:rsid w:val="00495ED2"/>
    <w:rsid w:val="004B0AEE"/>
    <w:rsid w:val="004B5B23"/>
    <w:rsid w:val="004B74E0"/>
    <w:rsid w:val="004C11BF"/>
    <w:rsid w:val="004C2399"/>
    <w:rsid w:val="004D58B8"/>
    <w:rsid w:val="004E25D6"/>
    <w:rsid w:val="004E5F63"/>
    <w:rsid w:val="004E6159"/>
    <w:rsid w:val="004F5E57"/>
    <w:rsid w:val="00500BBF"/>
    <w:rsid w:val="00514331"/>
    <w:rsid w:val="005210DB"/>
    <w:rsid w:val="005226A5"/>
    <w:rsid w:val="0052595A"/>
    <w:rsid w:val="00571248"/>
    <w:rsid w:val="005867DC"/>
    <w:rsid w:val="005A4EB4"/>
    <w:rsid w:val="005B0E05"/>
    <w:rsid w:val="005B5925"/>
    <w:rsid w:val="005B6BB9"/>
    <w:rsid w:val="005C7422"/>
    <w:rsid w:val="005D4E41"/>
    <w:rsid w:val="005D7C97"/>
    <w:rsid w:val="005F10A0"/>
    <w:rsid w:val="005F7DA2"/>
    <w:rsid w:val="006113D1"/>
    <w:rsid w:val="00623156"/>
    <w:rsid w:val="00623820"/>
    <w:rsid w:val="00636A85"/>
    <w:rsid w:val="00642C3A"/>
    <w:rsid w:val="00642DD9"/>
    <w:rsid w:val="00646BD5"/>
    <w:rsid w:val="0065173B"/>
    <w:rsid w:val="006813D5"/>
    <w:rsid w:val="00692FCF"/>
    <w:rsid w:val="00695474"/>
    <w:rsid w:val="006B7662"/>
    <w:rsid w:val="006C4DC9"/>
    <w:rsid w:val="006F4BBD"/>
    <w:rsid w:val="006F605E"/>
    <w:rsid w:val="0071788A"/>
    <w:rsid w:val="00727B33"/>
    <w:rsid w:val="00732DB9"/>
    <w:rsid w:val="00736EED"/>
    <w:rsid w:val="007446CC"/>
    <w:rsid w:val="00757B7C"/>
    <w:rsid w:val="00777596"/>
    <w:rsid w:val="00782743"/>
    <w:rsid w:val="00796D54"/>
    <w:rsid w:val="007A0417"/>
    <w:rsid w:val="007B6C3D"/>
    <w:rsid w:val="007C63E9"/>
    <w:rsid w:val="007C6A8D"/>
    <w:rsid w:val="007F778A"/>
    <w:rsid w:val="0081687E"/>
    <w:rsid w:val="00821031"/>
    <w:rsid w:val="00823A94"/>
    <w:rsid w:val="00824811"/>
    <w:rsid w:val="00865D8B"/>
    <w:rsid w:val="008827FA"/>
    <w:rsid w:val="00893400"/>
    <w:rsid w:val="008B4D24"/>
    <w:rsid w:val="008B71F0"/>
    <w:rsid w:val="008C13A8"/>
    <w:rsid w:val="008C4EA0"/>
    <w:rsid w:val="008C6165"/>
    <w:rsid w:val="008D3BC6"/>
    <w:rsid w:val="008E524F"/>
    <w:rsid w:val="008F7ACD"/>
    <w:rsid w:val="00900333"/>
    <w:rsid w:val="009101EF"/>
    <w:rsid w:val="00927678"/>
    <w:rsid w:val="00934C39"/>
    <w:rsid w:val="00984A92"/>
    <w:rsid w:val="00986208"/>
    <w:rsid w:val="009868DA"/>
    <w:rsid w:val="00991306"/>
    <w:rsid w:val="009A0007"/>
    <w:rsid w:val="009A6382"/>
    <w:rsid w:val="009B4704"/>
    <w:rsid w:val="009B7E0E"/>
    <w:rsid w:val="009C6C51"/>
    <w:rsid w:val="009E4219"/>
    <w:rsid w:val="009E4CDF"/>
    <w:rsid w:val="009F31FB"/>
    <w:rsid w:val="00A01368"/>
    <w:rsid w:val="00A023BD"/>
    <w:rsid w:val="00A03305"/>
    <w:rsid w:val="00A0494D"/>
    <w:rsid w:val="00A25758"/>
    <w:rsid w:val="00A41976"/>
    <w:rsid w:val="00A50E93"/>
    <w:rsid w:val="00A6202F"/>
    <w:rsid w:val="00A815B9"/>
    <w:rsid w:val="00A91779"/>
    <w:rsid w:val="00A91B29"/>
    <w:rsid w:val="00A93675"/>
    <w:rsid w:val="00A9509B"/>
    <w:rsid w:val="00AB27A2"/>
    <w:rsid w:val="00AC2C56"/>
    <w:rsid w:val="00AC4DE4"/>
    <w:rsid w:val="00AC52AB"/>
    <w:rsid w:val="00AE567D"/>
    <w:rsid w:val="00B034F3"/>
    <w:rsid w:val="00B06EE8"/>
    <w:rsid w:val="00B21274"/>
    <w:rsid w:val="00B218F7"/>
    <w:rsid w:val="00B21A06"/>
    <w:rsid w:val="00B23E19"/>
    <w:rsid w:val="00B27F5E"/>
    <w:rsid w:val="00B6162E"/>
    <w:rsid w:val="00B65200"/>
    <w:rsid w:val="00B66BB4"/>
    <w:rsid w:val="00B84D56"/>
    <w:rsid w:val="00B854B2"/>
    <w:rsid w:val="00B955AD"/>
    <w:rsid w:val="00BA4378"/>
    <w:rsid w:val="00BA4A55"/>
    <w:rsid w:val="00BB172E"/>
    <w:rsid w:val="00BB6A65"/>
    <w:rsid w:val="00BB7E2D"/>
    <w:rsid w:val="00BC1FFB"/>
    <w:rsid w:val="00BC2EEF"/>
    <w:rsid w:val="00BD2968"/>
    <w:rsid w:val="00BE170B"/>
    <w:rsid w:val="00BE5149"/>
    <w:rsid w:val="00BF46CB"/>
    <w:rsid w:val="00BF49FE"/>
    <w:rsid w:val="00C14A65"/>
    <w:rsid w:val="00C37C14"/>
    <w:rsid w:val="00C72D3A"/>
    <w:rsid w:val="00C76F13"/>
    <w:rsid w:val="00C92C2D"/>
    <w:rsid w:val="00C97C2C"/>
    <w:rsid w:val="00CA1312"/>
    <w:rsid w:val="00CA2295"/>
    <w:rsid w:val="00CA316B"/>
    <w:rsid w:val="00CB18B6"/>
    <w:rsid w:val="00CC73BB"/>
    <w:rsid w:val="00CE6006"/>
    <w:rsid w:val="00D01D88"/>
    <w:rsid w:val="00D025B6"/>
    <w:rsid w:val="00D05CB2"/>
    <w:rsid w:val="00D07DA6"/>
    <w:rsid w:val="00D11FDB"/>
    <w:rsid w:val="00D24D01"/>
    <w:rsid w:val="00D27821"/>
    <w:rsid w:val="00D35650"/>
    <w:rsid w:val="00D37274"/>
    <w:rsid w:val="00D427AD"/>
    <w:rsid w:val="00D670E7"/>
    <w:rsid w:val="00D7341E"/>
    <w:rsid w:val="00D759C0"/>
    <w:rsid w:val="00DA7EC0"/>
    <w:rsid w:val="00DC018C"/>
    <w:rsid w:val="00DC718C"/>
    <w:rsid w:val="00DC7DCC"/>
    <w:rsid w:val="00DE4135"/>
    <w:rsid w:val="00DE5D10"/>
    <w:rsid w:val="00DE6A2C"/>
    <w:rsid w:val="00DF4808"/>
    <w:rsid w:val="00DF5690"/>
    <w:rsid w:val="00E00D9E"/>
    <w:rsid w:val="00E04A48"/>
    <w:rsid w:val="00E557A3"/>
    <w:rsid w:val="00E60FC9"/>
    <w:rsid w:val="00E642B0"/>
    <w:rsid w:val="00E6434F"/>
    <w:rsid w:val="00E84324"/>
    <w:rsid w:val="00EA155A"/>
    <w:rsid w:val="00EA5A96"/>
    <w:rsid w:val="00EB216B"/>
    <w:rsid w:val="00EB30AC"/>
    <w:rsid w:val="00EC71FB"/>
    <w:rsid w:val="00EC7C3E"/>
    <w:rsid w:val="00ED12C1"/>
    <w:rsid w:val="00EE2DB0"/>
    <w:rsid w:val="00EE6BC5"/>
    <w:rsid w:val="00F01AB5"/>
    <w:rsid w:val="00F3725F"/>
    <w:rsid w:val="00F43360"/>
    <w:rsid w:val="00F558B0"/>
    <w:rsid w:val="00F74244"/>
    <w:rsid w:val="00F841F5"/>
    <w:rsid w:val="00F8457E"/>
    <w:rsid w:val="00F91A1C"/>
    <w:rsid w:val="00F95379"/>
    <w:rsid w:val="00FA0DF7"/>
    <w:rsid w:val="00FA7088"/>
    <w:rsid w:val="00FB3D8B"/>
    <w:rsid w:val="00FC3039"/>
    <w:rsid w:val="00FE2CF3"/>
    <w:rsid w:val="00FE49C7"/>
    <w:rsid w:val="00FF4FA1"/>
    <w:rsid w:val="059F2813"/>
    <w:rsid w:val="0D022C8A"/>
    <w:rsid w:val="0E9DFCEB"/>
    <w:rsid w:val="11D59DAD"/>
    <w:rsid w:val="168FE673"/>
    <w:rsid w:val="1C13528A"/>
    <w:rsid w:val="5BF6616C"/>
    <w:rsid w:val="773DFD06"/>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2BDD2"/>
  <w15:chartTrackingRefBased/>
  <w15:docId w15:val="{F9C32F81-C205-4D8F-80EB-6A88CB26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7DA2"/>
    <w:rPr>
      <w:rFonts w:asciiTheme="majorHAnsi" w:hAnsiTheme="majorHAnsi" w:cstheme="majorHAnsi"/>
      <w:sz w:val="22"/>
    </w:rPr>
  </w:style>
  <w:style w:type="paragraph" w:styleId="Kop1">
    <w:name w:val="heading 1"/>
    <w:aliases w:val="FP Title"/>
    <w:basedOn w:val="Standaard"/>
    <w:next w:val="Standaard"/>
    <w:link w:val="Kop1Char"/>
    <w:uiPriority w:val="9"/>
    <w:qFormat/>
    <w:rsid w:val="007C63E9"/>
    <w:pPr>
      <w:keepNext/>
      <w:keepLines/>
      <w:spacing w:before="240"/>
      <w:outlineLvl w:val="0"/>
    </w:pPr>
    <w:rPr>
      <w:rFonts w:ascii="Calibri" w:eastAsiaTheme="majorEastAsia" w:hAnsi="Calibri" w:cstheme="majorBidi"/>
      <w:b/>
      <w:bCs/>
      <w:sz w:val="32"/>
      <w:szCs w:val="32"/>
    </w:rPr>
  </w:style>
  <w:style w:type="paragraph" w:styleId="Kop2">
    <w:name w:val="heading 2"/>
    <w:basedOn w:val="Standaard"/>
    <w:next w:val="Standaard"/>
    <w:link w:val="Kop2Char"/>
    <w:uiPriority w:val="9"/>
    <w:unhideWhenUsed/>
    <w:qFormat/>
    <w:rsid w:val="007C63E9"/>
    <w:pPr>
      <w:outlineLvl w:val="1"/>
    </w:pPr>
    <w:rPr>
      <w:sz w:val="28"/>
      <w:szCs w:val="28"/>
    </w:rPr>
  </w:style>
  <w:style w:type="paragraph" w:styleId="Kop3">
    <w:name w:val="heading 3"/>
    <w:basedOn w:val="Standaard"/>
    <w:next w:val="Standaard"/>
    <w:link w:val="Kop3Char"/>
    <w:uiPriority w:val="9"/>
    <w:unhideWhenUsed/>
    <w:qFormat/>
    <w:rsid w:val="0011227E"/>
    <w:pPr>
      <w:outlineLvl w:val="2"/>
    </w:pPr>
    <w:rPr>
      <w:sz w:val="24"/>
    </w:rPr>
  </w:style>
  <w:style w:type="paragraph" w:styleId="Kop4">
    <w:name w:val="heading 4"/>
    <w:basedOn w:val="Standaard"/>
    <w:next w:val="Standaard"/>
    <w:link w:val="Kop4Char"/>
    <w:uiPriority w:val="9"/>
    <w:unhideWhenUsed/>
    <w:qFormat/>
    <w:rsid w:val="0011227E"/>
    <w:pPr>
      <w:outlineLvl w:val="3"/>
    </w:pPr>
    <w:rPr>
      <w:rFonts w:ascii="Calibri" w:hAnsi="Calibri"/>
      <w:b/>
      <w:bCs/>
    </w:rPr>
  </w:style>
  <w:style w:type="paragraph" w:styleId="Kop5">
    <w:name w:val="heading 5"/>
    <w:basedOn w:val="Standaard"/>
    <w:next w:val="Standaard"/>
    <w:link w:val="Kop5Char"/>
    <w:uiPriority w:val="9"/>
    <w:unhideWhenUsed/>
    <w:qFormat/>
    <w:rsid w:val="0011227E"/>
    <w:pPr>
      <w:outlineLvl w:val="4"/>
    </w:pPr>
    <w:rPr>
      <w:i/>
      <w:iCs/>
      <w:color w:val="000000" w:themeColor="text1"/>
    </w:rPr>
  </w:style>
  <w:style w:type="paragraph" w:styleId="Kop6">
    <w:name w:val="heading 6"/>
    <w:basedOn w:val="Standaard"/>
    <w:next w:val="Standaard"/>
    <w:link w:val="Kop6Char"/>
    <w:uiPriority w:val="9"/>
    <w:unhideWhenUsed/>
    <w:qFormat/>
    <w:rsid w:val="007C63E9"/>
    <w:pPr>
      <w:keepNext/>
      <w:keepLines/>
      <w:spacing w:before="40"/>
      <w:outlineLvl w:val="5"/>
    </w:pPr>
    <w:rPr>
      <w:rFonts w:eastAsiaTheme="majorEastAsia" w:cstheme="majorBidi"/>
    </w:rPr>
  </w:style>
  <w:style w:type="paragraph" w:styleId="Kop7">
    <w:name w:val="heading 7"/>
    <w:basedOn w:val="Standaard"/>
    <w:next w:val="Standaard"/>
    <w:link w:val="Kop7Char"/>
    <w:uiPriority w:val="9"/>
    <w:semiHidden/>
    <w:unhideWhenUsed/>
    <w:qFormat/>
    <w:rsid w:val="007C63E9"/>
    <w:pPr>
      <w:keepNext/>
      <w:keepLines/>
      <w:spacing w:before="40"/>
      <w:outlineLvl w:val="6"/>
    </w:pPr>
    <w:rPr>
      <w:rFonts w:eastAsiaTheme="majorEastAsia"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F7DA2"/>
    <w:rPr>
      <w:rFonts w:asciiTheme="majorHAnsi" w:hAnsiTheme="majorHAnsi"/>
      <w:sz w:val="22"/>
    </w:rPr>
  </w:style>
  <w:style w:type="character" w:customStyle="1" w:styleId="Kop1Char">
    <w:name w:val="Kop 1 Char"/>
    <w:aliases w:val="FP Title Char"/>
    <w:basedOn w:val="Standaardalinea-lettertype"/>
    <w:link w:val="Kop1"/>
    <w:uiPriority w:val="9"/>
    <w:rsid w:val="007C63E9"/>
    <w:rPr>
      <w:rFonts w:ascii="Calibri" w:eastAsiaTheme="majorEastAsia" w:hAnsi="Calibri" w:cstheme="majorBidi"/>
      <w:b/>
      <w:bCs/>
      <w:sz w:val="32"/>
      <w:szCs w:val="32"/>
      <w:lang w:val="fr-FR"/>
    </w:rPr>
  </w:style>
  <w:style w:type="character" w:customStyle="1" w:styleId="Kop2Char">
    <w:name w:val="Kop 2 Char"/>
    <w:basedOn w:val="Standaardalinea-lettertype"/>
    <w:link w:val="Kop2"/>
    <w:uiPriority w:val="9"/>
    <w:rsid w:val="007C63E9"/>
    <w:rPr>
      <w:rFonts w:asciiTheme="majorHAnsi" w:hAnsiTheme="majorHAnsi" w:cstheme="majorHAnsi"/>
      <w:sz w:val="28"/>
      <w:szCs w:val="28"/>
      <w:lang w:val="fr-FR"/>
    </w:rPr>
  </w:style>
  <w:style w:type="character" w:customStyle="1" w:styleId="Kop3Char">
    <w:name w:val="Kop 3 Char"/>
    <w:basedOn w:val="Standaardalinea-lettertype"/>
    <w:link w:val="Kop3"/>
    <w:uiPriority w:val="9"/>
    <w:rsid w:val="0011227E"/>
    <w:rPr>
      <w:rFonts w:asciiTheme="majorHAnsi" w:hAnsiTheme="majorHAnsi" w:cstheme="majorHAnsi"/>
      <w:lang w:val="fr-FR"/>
    </w:rPr>
  </w:style>
  <w:style w:type="character" w:customStyle="1" w:styleId="Kop4Char">
    <w:name w:val="Kop 4 Char"/>
    <w:basedOn w:val="Standaardalinea-lettertype"/>
    <w:link w:val="Kop4"/>
    <w:uiPriority w:val="9"/>
    <w:rsid w:val="0011227E"/>
    <w:rPr>
      <w:rFonts w:ascii="Calibri" w:hAnsi="Calibri" w:cstheme="majorHAnsi"/>
      <w:b/>
      <w:bCs/>
      <w:sz w:val="22"/>
      <w:lang w:val="fr-FR"/>
    </w:rPr>
  </w:style>
  <w:style w:type="character" w:customStyle="1" w:styleId="Kop5Char">
    <w:name w:val="Kop 5 Char"/>
    <w:basedOn w:val="Standaardalinea-lettertype"/>
    <w:link w:val="Kop5"/>
    <w:uiPriority w:val="9"/>
    <w:rsid w:val="0011227E"/>
    <w:rPr>
      <w:rFonts w:asciiTheme="majorHAnsi" w:hAnsiTheme="majorHAnsi" w:cstheme="majorHAnsi"/>
      <w:i/>
      <w:iCs/>
      <w:color w:val="000000" w:themeColor="text1"/>
      <w:sz w:val="22"/>
      <w:lang w:val="fr-FR"/>
    </w:rPr>
  </w:style>
  <w:style w:type="paragraph" w:styleId="Titel">
    <w:name w:val="Title"/>
    <w:basedOn w:val="Kop1"/>
    <w:next w:val="Standaard"/>
    <w:link w:val="TitelChar"/>
    <w:uiPriority w:val="10"/>
    <w:qFormat/>
    <w:rsid w:val="0011227E"/>
    <w:rPr>
      <w:rFonts w:asciiTheme="majorHAnsi" w:hAnsiTheme="majorHAnsi" w:cstheme="majorHAnsi"/>
      <w:b w:val="0"/>
      <w:bCs w:val="0"/>
      <w:sz w:val="52"/>
      <w:szCs w:val="52"/>
    </w:rPr>
  </w:style>
  <w:style w:type="character" w:customStyle="1" w:styleId="TitelChar">
    <w:name w:val="Titel Char"/>
    <w:basedOn w:val="Standaardalinea-lettertype"/>
    <w:link w:val="Titel"/>
    <w:uiPriority w:val="10"/>
    <w:rsid w:val="0011227E"/>
    <w:rPr>
      <w:rFonts w:asciiTheme="majorHAnsi" w:eastAsiaTheme="majorEastAsia" w:hAnsiTheme="majorHAnsi" w:cstheme="majorHAnsi"/>
      <w:color w:val="497728" w:themeColor="accent5"/>
      <w:sz w:val="52"/>
      <w:szCs w:val="52"/>
      <w:lang w:val="fr-FR"/>
    </w:rPr>
  </w:style>
  <w:style w:type="paragraph" w:styleId="Ondertitel">
    <w:name w:val="Subtitle"/>
    <w:basedOn w:val="Kop6"/>
    <w:next w:val="Standaard"/>
    <w:link w:val="OndertitelChar"/>
    <w:uiPriority w:val="11"/>
    <w:qFormat/>
    <w:rsid w:val="007C63E9"/>
    <w:rPr>
      <w:rFonts w:ascii="Calibri" w:hAnsi="Calibri"/>
      <w:b/>
      <w:bCs/>
    </w:rPr>
  </w:style>
  <w:style w:type="character" w:customStyle="1" w:styleId="OndertitelChar">
    <w:name w:val="Ondertitel Char"/>
    <w:basedOn w:val="Standaardalinea-lettertype"/>
    <w:link w:val="Ondertitel"/>
    <w:uiPriority w:val="11"/>
    <w:rsid w:val="007C63E9"/>
    <w:rPr>
      <w:rFonts w:ascii="Calibri" w:eastAsiaTheme="majorEastAsia" w:hAnsi="Calibri" w:cstheme="majorBidi"/>
      <w:b/>
      <w:bCs/>
      <w:sz w:val="22"/>
      <w:lang w:val="fr-FR"/>
    </w:rPr>
  </w:style>
  <w:style w:type="character" w:customStyle="1" w:styleId="Kop6Char">
    <w:name w:val="Kop 6 Char"/>
    <w:basedOn w:val="Standaardalinea-lettertype"/>
    <w:link w:val="Kop6"/>
    <w:uiPriority w:val="9"/>
    <w:rsid w:val="007C63E9"/>
    <w:rPr>
      <w:rFonts w:asciiTheme="majorHAnsi" w:eastAsiaTheme="majorEastAsia" w:hAnsiTheme="majorHAnsi" w:cstheme="majorBidi"/>
      <w:sz w:val="22"/>
      <w:lang w:val="fr-FR"/>
    </w:rPr>
  </w:style>
  <w:style w:type="character" w:styleId="Subtielebenadrukking">
    <w:name w:val="Subtle Emphasis"/>
    <w:uiPriority w:val="19"/>
    <w:qFormat/>
    <w:rsid w:val="0011227E"/>
    <w:rPr>
      <w:i/>
      <w:iCs/>
    </w:rPr>
  </w:style>
  <w:style w:type="character" w:styleId="Nadruk">
    <w:name w:val="Emphasis"/>
    <w:uiPriority w:val="20"/>
    <w:qFormat/>
    <w:rsid w:val="0011227E"/>
    <w:rPr>
      <w:b/>
      <w:bCs/>
    </w:rPr>
  </w:style>
  <w:style w:type="character" w:styleId="Intensievebenadrukking">
    <w:name w:val="Intense Emphasis"/>
    <w:basedOn w:val="Subtielebenadrukking"/>
    <w:uiPriority w:val="21"/>
    <w:qFormat/>
    <w:rsid w:val="007C63E9"/>
    <w:rPr>
      <w:b/>
      <w:bCs/>
      <w:i/>
      <w:iCs/>
      <w:color w:val="auto"/>
    </w:rPr>
  </w:style>
  <w:style w:type="character" w:styleId="Zwaar">
    <w:name w:val="Strong"/>
    <w:basedOn w:val="Nadruk"/>
    <w:uiPriority w:val="22"/>
    <w:qFormat/>
    <w:rsid w:val="0011227E"/>
    <w:rPr>
      <w:b/>
      <w:bCs/>
    </w:rPr>
  </w:style>
  <w:style w:type="paragraph" w:styleId="Citaat">
    <w:name w:val="Quote"/>
    <w:basedOn w:val="Standaard"/>
    <w:next w:val="Standaard"/>
    <w:link w:val="CitaatChar"/>
    <w:uiPriority w:val="29"/>
    <w:qFormat/>
    <w:rsid w:val="0011227E"/>
  </w:style>
  <w:style w:type="character" w:customStyle="1" w:styleId="CitaatChar">
    <w:name w:val="Citaat Char"/>
    <w:basedOn w:val="Standaardalinea-lettertype"/>
    <w:link w:val="Citaat"/>
    <w:uiPriority w:val="29"/>
    <w:rsid w:val="0011227E"/>
    <w:rPr>
      <w:rFonts w:asciiTheme="majorHAnsi" w:hAnsiTheme="majorHAnsi" w:cstheme="majorHAnsi"/>
      <w:sz w:val="22"/>
      <w:lang w:val="fr-FR"/>
    </w:rPr>
  </w:style>
  <w:style w:type="paragraph" w:styleId="Duidelijkcitaat">
    <w:name w:val="Intense Quote"/>
    <w:basedOn w:val="Standaard"/>
    <w:next w:val="Standaard"/>
    <w:link w:val="DuidelijkcitaatChar"/>
    <w:uiPriority w:val="30"/>
    <w:qFormat/>
    <w:rsid w:val="007C63E9"/>
    <w:pPr>
      <w:spacing w:before="480" w:after="480"/>
      <w:ind w:left="708" w:right="864"/>
    </w:pPr>
    <w:rPr>
      <w:i/>
      <w:iCs/>
      <w:sz w:val="24"/>
    </w:rPr>
  </w:style>
  <w:style w:type="character" w:customStyle="1" w:styleId="DuidelijkcitaatChar">
    <w:name w:val="Duidelijk citaat Char"/>
    <w:basedOn w:val="Standaardalinea-lettertype"/>
    <w:link w:val="Duidelijkcitaat"/>
    <w:uiPriority w:val="30"/>
    <w:rsid w:val="007C63E9"/>
    <w:rPr>
      <w:rFonts w:asciiTheme="majorHAnsi" w:hAnsiTheme="majorHAnsi" w:cstheme="majorHAnsi"/>
      <w:i/>
      <w:iCs/>
      <w:lang w:val="fr-FR"/>
    </w:rPr>
  </w:style>
  <w:style w:type="character" w:styleId="Subtieleverwijzing">
    <w:name w:val="Subtle Reference"/>
    <w:basedOn w:val="Subtielebenadrukking"/>
    <w:uiPriority w:val="31"/>
    <w:qFormat/>
    <w:rsid w:val="0011227E"/>
    <w:rPr>
      <w:i/>
      <w:iCs/>
    </w:rPr>
  </w:style>
  <w:style w:type="character" w:styleId="Titelvanboek">
    <w:name w:val="Book Title"/>
    <w:basedOn w:val="Subtieleverwijzing"/>
    <w:uiPriority w:val="33"/>
    <w:qFormat/>
    <w:rsid w:val="00BB172E"/>
    <w:rPr>
      <w:i/>
      <w:iCs/>
    </w:rPr>
  </w:style>
  <w:style w:type="character" w:styleId="Intensieveverwijzing">
    <w:name w:val="Intense Reference"/>
    <w:basedOn w:val="Zwaar"/>
    <w:uiPriority w:val="32"/>
    <w:qFormat/>
    <w:rsid w:val="007C63E9"/>
    <w:rPr>
      <w:b/>
      <w:bCs/>
      <w:color w:val="auto"/>
    </w:rPr>
  </w:style>
  <w:style w:type="paragraph" w:styleId="Lijstalinea">
    <w:name w:val="List Paragraph"/>
    <w:basedOn w:val="Standaard"/>
    <w:uiPriority w:val="34"/>
    <w:qFormat/>
    <w:rsid w:val="00BB172E"/>
    <w:pPr>
      <w:ind w:left="720"/>
      <w:contextualSpacing/>
    </w:pPr>
  </w:style>
  <w:style w:type="paragraph" w:styleId="Koptekst">
    <w:name w:val="header"/>
    <w:basedOn w:val="Standaard"/>
    <w:link w:val="KoptekstChar"/>
    <w:uiPriority w:val="99"/>
    <w:unhideWhenUsed/>
    <w:rsid w:val="00893400"/>
    <w:pPr>
      <w:tabs>
        <w:tab w:val="center" w:pos="4536"/>
        <w:tab w:val="right" w:pos="9072"/>
      </w:tabs>
    </w:pPr>
  </w:style>
  <w:style w:type="character" w:customStyle="1" w:styleId="KoptekstChar">
    <w:name w:val="Koptekst Char"/>
    <w:basedOn w:val="Standaardalinea-lettertype"/>
    <w:link w:val="Koptekst"/>
    <w:uiPriority w:val="99"/>
    <w:rsid w:val="00893400"/>
    <w:rPr>
      <w:rFonts w:asciiTheme="majorHAnsi" w:hAnsiTheme="majorHAnsi" w:cstheme="majorHAnsi"/>
      <w:sz w:val="22"/>
      <w:lang w:val="fr-FR"/>
    </w:rPr>
  </w:style>
  <w:style w:type="paragraph" w:styleId="Voettekst">
    <w:name w:val="footer"/>
    <w:basedOn w:val="Standaard"/>
    <w:link w:val="VoettekstChar"/>
    <w:uiPriority w:val="99"/>
    <w:unhideWhenUsed/>
    <w:rsid w:val="00893400"/>
    <w:pPr>
      <w:tabs>
        <w:tab w:val="center" w:pos="4536"/>
        <w:tab w:val="right" w:pos="9072"/>
      </w:tabs>
    </w:pPr>
  </w:style>
  <w:style w:type="character" w:customStyle="1" w:styleId="VoettekstChar">
    <w:name w:val="Voettekst Char"/>
    <w:basedOn w:val="Standaardalinea-lettertype"/>
    <w:link w:val="Voettekst"/>
    <w:uiPriority w:val="99"/>
    <w:rsid w:val="00893400"/>
    <w:rPr>
      <w:rFonts w:asciiTheme="majorHAnsi" w:hAnsiTheme="majorHAnsi" w:cstheme="majorHAnsi"/>
      <w:sz w:val="22"/>
      <w:lang w:val="fr-FR"/>
    </w:rPr>
  </w:style>
  <w:style w:type="character" w:styleId="Tekstvantijdelijkeaanduiding">
    <w:name w:val="Placeholder Text"/>
    <w:basedOn w:val="Standaardalinea-lettertype"/>
    <w:uiPriority w:val="99"/>
    <w:semiHidden/>
    <w:rsid w:val="00893400"/>
    <w:rPr>
      <w:color w:val="808080"/>
    </w:rPr>
  </w:style>
  <w:style w:type="character" w:styleId="Paginanummer">
    <w:name w:val="page number"/>
    <w:basedOn w:val="Standaardalinea-lettertype"/>
    <w:uiPriority w:val="99"/>
    <w:semiHidden/>
    <w:unhideWhenUsed/>
    <w:rsid w:val="001F42BE"/>
  </w:style>
  <w:style w:type="character" w:customStyle="1" w:styleId="Kop7Char">
    <w:name w:val="Kop 7 Char"/>
    <w:basedOn w:val="Standaardalinea-lettertype"/>
    <w:link w:val="Kop7"/>
    <w:uiPriority w:val="9"/>
    <w:semiHidden/>
    <w:rsid w:val="007C63E9"/>
    <w:rPr>
      <w:rFonts w:asciiTheme="majorHAnsi" w:eastAsiaTheme="majorEastAsia" w:hAnsiTheme="majorHAnsi" w:cstheme="majorBidi"/>
      <w:i/>
      <w:iCs/>
      <w:sz w:val="22"/>
      <w:lang w:val="fr-FR"/>
    </w:rPr>
  </w:style>
  <w:style w:type="character" w:styleId="Verwijzingopmerking">
    <w:name w:val="annotation reference"/>
    <w:basedOn w:val="Standaardalinea-lettertype"/>
    <w:uiPriority w:val="99"/>
    <w:semiHidden/>
    <w:unhideWhenUsed/>
    <w:rsid w:val="00CE6006"/>
    <w:rPr>
      <w:sz w:val="16"/>
      <w:szCs w:val="16"/>
    </w:rPr>
  </w:style>
  <w:style w:type="paragraph" w:styleId="Tekstopmerking">
    <w:name w:val="annotation text"/>
    <w:basedOn w:val="Standaard"/>
    <w:link w:val="TekstopmerkingChar"/>
    <w:uiPriority w:val="99"/>
    <w:semiHidden/>
    <w:unhideWhenUsed/>
    <w:rsid w:val="00CE6006"/>
    <w:rPr>
      <w:sz w:val="20"/>
      <w:szCs w:val="20"/>
    </w:rPr>
  </w:style>
  <w:style w:type="character" w:customStyle="1" w:styleId="TekstopmerkingChar">
    <w:name w:val="Tekst opmerking Char"/>
    <w:basedOn w:val="Standaardalinea-lettertype"/>
    <w:link w:val="Tekstopmerking"/>
    <w:uiPriority w:val="99"/>
    <w:semiHidden/>
    <w:rsid w:val="00CE6006"/>
    <w:rPr>
      <w:rFonts w:asciiTheme="majorHAnsi" w:hAnsiTheme="majorHAnsi" w:cstheme="majorHAnsi"/>
      <w:sz w:val="20"/>
      <w:szCs w:val="20"/>
      <w:lang w:val="fr-FR"/>
    </w:rPr>
  </w:style>
  <w:style w:type="paragraph" w:styleId="Onderwerpvanopmerking">
    <w:name w:val="annotation subject"/>
    <w:basedOn w:val="Tekstopmerking"/>
    <w:next w:val="Tekstopmerking"/>
    <w:link w:val="OnderwerpvanopmerkingChar"/>
    <w:uiPriority w:val="99"/>
    <w:semiHidden/>
    <w:unhideWhenUsed/>
    <w:rsid w:val="00CE6006"/>
    <w:rPr>
      <w:b/>
      <w:bCs/>
    </w:rPr>
  </w:style>
  <w:style w:type="character" w:customStyle="1" w:styleId="OnderwerpvanopmerkingChar">
    <w:name w:val="Onderwerp van opmerking Char"/>
    <w:basedOn w:val="TekstopmerkingChar"/>
    <w:link w:val="Onderwerpvanopmerking"/>
    <w:uiPriority w:val="99"/>
    <w:semiHidden/>
    <w:rsid w:val="00CE6006"/>
    <w:rPr>
      <w:rFonts w:asciiTheme="majorHAnsi" w:hAnsiTheme="majorHAnsi" w:cstheme="majorHAnsi"/>
      <w:b/>
      <w:bCs/>
      <w:sz w:val="20"/>
      <w:szCs w:val="20"/>
      <w:lang w:val="fr-FR"/>
    </w:rPr>
  </w:style>
  <w:style w:type="paragraph" w:styleId="Ballontekst">
    <w:name w:val="Balloon Text"/>
    <w:basedOn w:val="Standaard"/>
    <w:link w:val="BallontekstChar"/>
    <w:uiPriority w:val="99"/>
    <w:semiHidden/>
    <w:unhideWhenUsed/>
    <w:rsid w:val="00F9537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5379"/>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197D7F7DB242069731820146AAE210"/>
        <w:category>
          <w:name w:val="General"/>
          <w:gallery w:val="placeholder"/>
        </w:category>
        <w:types>
          <w:type w:val="bbPlcHdr"/>
        </w:types>
        <w:behaviors>
          <w:behavior w:val="content"/>
        </w:behaviors>
        <w:guid w:val="{7B6C6466-E2FB-4297-A9C9-D722D256C5E3}"/>
      </w:docPartPr>
      <w:docPartBody>
        <w:p w:rsidR="000914DB" w:rsidRDefault="00A91779">
          <w:pPr>
            <w:pStyle w:val="A7197D7F7DB242069731820146AAE210"/>
          </w:pPr>
          <w:r w:rsidRPr="005B73BF">
            <w:rPr>
              <w:rStyle w:val="Tekstvantijdelijkeaanduiding"/>
            </w:rPr>
            <w:t>[</w:t>
          </w:r>
          <w:r>
            <w:rPr>
              <w:rStyle w:val="Tekstvantijdelijkeaanduiding"/>
            </w:rPr>
            <w:t>test</w:t>
          </w:r>
          <w:r w:rsidRPr="005B73BF">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DB"/>
    <w:rsid w:val="000914DB"/>
    <w:rsid w:val="00272768"/>
    <w:rsid w:val="00370906"/>
    <w:rsid w:val="0044336B"/>
    <w:rsid w:val="0066017A"/>
    <w:rsid w:val="007B01CE"/>
    <w:rsid w:val="007E0542"/>
    <w:rsid w:val="008F1934"/>
    <w:rsid w:val="00911F57"/>
    <w:rsid w:val="00A2310B"/>
    <w:rsid w:val="00A84D3A"/>
    <w:rsid w:val="00A866E1"/>
    <w:rsid w:val="00A91779"/>
    <w:rsid w:val="00C82E5E"/>
    <w:rsid w:val="00CB2C79"/>
    <w:rsid w:val="00E26781"/>
    <w:rsid w:val="00F019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7197D7F7DB242069731820146AAE210">
    <w:name w:val="A7197D7F7DB242069731820146AAE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angepast 1">
      <a:dk1>
        <a:srgbClr val="000000"/>
      </a:dk1>
      <a:lt1>
        <a:srgbClr val="FFFFFF"/>
      </a:lt1>
      <a:dk2>
        <a:srgbClr val="578C37"/>
      </a:dk2>
      <a:lt2>
        <a:srgbClr val="C9D887"/>
      </a:lt2>
      <a:accent1>
        <a:srgbClr val="C8D886"/>
      </a:accent1>
      <a:accent2>
        <a:srgbClr val="EBBD6E"/>
      </a:accent2>
      <a:accent3>
        <a:srgbClr val="61AF9F"/>
      </a:accent3>
      <a:accent4>
        <a:srgbClr val="CD5D50"/>
      </a:accent4>
      <a:accent5>
        <a:srgbClr val="497728"/>
      </a:accent5>
      <a:accent6>
        <a:srgbClr val="BCE193"/>
      </a:accent6>
      <a:hlink>
        <a:srgbClr val="E04E38"/>
      </a:hlink>
      <a:folHlink>
        <a:srgbClr val="48772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C5E4F95BC774BAFE5175EE0329927" ma:contentTypeVersion="23" ma:contentTypeDescription="Create a new document." ma:contentTypeScope="" ma:versionID="6b5e5e8ccfc347ecf439403b8417935e">
  <xsd:schema xmlns:xsd="http://www.w3.org/2001/XMLSchema" xmlns:xs="http://www.w3.org/2001/XMLSchema" xmlns:p="http://schemas.microsoft.com/office/2006/metadata/properties" xmlns:ns2="a9f35012-eecc-494d-91b0-7e0ad8c019e4" xmlns:ns3="d81d603b-3745-4bc7-8dda-72247a707773" xmlns:ns4="0467d8f7-3f3d-498a-935b-d33ee4b810d1" xmlns:ns5="53d2d6a2-3b4f-4cee-81a4-4399f10a90ea" targetNamespace="http://schemas.microsoft.com/office/2006/metadata/properties" ma:root="true" ma:fieldsID="3ab93c4db742bc06d044e94b9d6d0d1f" ns2:_="" ns3:_="" ns4:_="" ns5:_="">
    <xsd:import namespace="a9f35012-eecc-494d-91b0-7e0ad8c019e4"/>
    <xsd:import namespace="d81d603b-3745-4bc7-8dda-72247a707773"/>
    <xsd:import namespace="0467d8f7-3f3d-498a-935b-d33ee4b810d1"/>
    <xsd:import namespace="53d2d6a2-3b4f-4cee-81a4-4399f10a90ea"/>
    <xsd:element name="properties">
      <xsd:complexType>
        <xsd:sequence>
          <xsd:element name="documentManagement">
            <xsd:complexType>
              <xsd:all>
                <xsd:element ref="ns2:Tasks" minOccurs="0"/>
                <xsd:element ref="ns3:Commentaar" minOccurs="0"/>
                <xsd:element ref="ns4:MediaServiceMetadata" minOccurs="0"/>
                <xsd:element ref="ns4:MediaServiceFastMetadata" minOccurs="0"/>
                <xsd:element ref="ns4:Doc_x002e_Category" minOccurs="0"/>
                <xsd:element ref="ns4:Doelgroep" minOccurs="0"/>
                <xsd:element ref="ns4:Stakeholders" minOccurs="0"/>
                <xsd:element ref="ns4:Project_x0020_Status" minOccurs="0"/>
                <xsd:element ref="ns4:Region"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5:SharedWithUsers" minOccurs="0"/>
                <xsd:element ref="ns5:SharedWithDetails"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35012-eecc-494d-91b0-7e0ad8c019e4" elementFormDefault="qualified">
    <xsd:import namespace="http://schemas.microsoft.com/office/2006/documentManagement/types"/>
    <xsd:import namespace="http://schemas.microsoft.com/office/infopath/2007/PartnerControls"/>
    <xsd:element name="Tasks" ma:index="8" nillable="true" ma:displayName="Task/Deliverable" ma:list="{6DFDFC14-6797-4211-A6A1-D69BB6AE7406}" ma:internalName="Tasks" ma:showField="Title" ma:web="{d81d603b-3745-4bc7-8dda-72247a7077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1d603b-3745-4bc7-8dda-72247a707773" elementFormDefault="qualified">
    <xsd:import namespace="http://schemas.microsoft.com/office/2006/documentManagement/types"/>
    <xsd:import namespace="http://schemas.microsoft.com/office/infopath/2007/PartnerControls"/>
    <xsd:element name="Commentaar" ma:index="9" nillable="true" ma:displayName="Commentaar" ma:internalName="Commenta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67d8f7-3f3d-498a-935b-d33ee4b810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_x002e_Category" ma:index="12" nillable="true" ma:displayName="Doc.Category" ma:default="Standards" ma:format="Dropdown" ma:internalName="Doc_x002e_Category">
      <xsd:simpleType>
        <xsd:restriction base="dms:Choice">
          <xsd:enumeration value="Standards"/>
          <xsd:enumeration value="Benefits"/>
          <xsd:enumeration value="Budget"/>
          <xsd:enumeration value="Communication"/>
          <xsd:enumeration value="Stakeholders"/>
          <xsd:enumeration value="Procurement"/>
          <xsd:enumeration value="Logistics"/>
          <xsd:enumeration value="Quality"/>
          <xsd:enumeration value="Training"/>
        </xsd:restriction>
      </xsd:simpleType>
    </xsd:element>
    <xsd:element name="Doelgroep" ma:index="13" nillable="true" ma:displayName="Doelgroep" ma:default="Sports clubs" ma:format="Dropdown" ma:internalName="Doelgroep">
      <xsd:simpleType>
        <xsd:restriction base="dms:Choice">
          <xsd:enumeration value="All"/>
          <xsd:enumeration value="Comm Campagnes"/>
          <xsd:enumeration value="Sports clubs"/>
          <xsd:enumeration value="Events/Festivals Nationaal"/>
          <xsd:enumeration value="Events/Festivals Regionaal"/>
          <xsd:enumeration value="Events/ Festivals Gemeenten"/>
          <xsd:enumeration value="Tank Stations"/>
          <xsd:enumeration value="Schools"/>
          <xsd:enumeration value="Universities"/>
          <xsd:enumeration value="Mouvements Jeunesse"/>
          <xsd:enumeration value="Recreational Areas"/>
          <xsd:enumeration value="Hospitals"/>
          <xsd:enumeration value="Fedasil"/>
          <xsd:enumeration value="Prisons"/>
          <xsd:enumeration value="Public Transport"/>
          <xsd:enumeration value="Horeca"/>
          <xsd:enumeration value="Entreprises- Specific"/>
          <xsd:enumeration value="Enterprises- Operator"/>
          <xsd:enumeration value="Entreprises- Cleaning"/>
          <xsd:enumeration value="Entreprises- Real Estate"/>
          <xsd:enumeration value="Enterprises- Bedrijven terreinen"/>
          <xsd:enumeration value="OTG- Various"/>
          <xsd:enumeration value="OTG- Snacks-Friteries"/>
          <xsd:enumeration value="OTG- Parcs Régionaux"/>
          <xsd:enumeration value="OTG- Parcs Communaux"/>
          <xsd:enumeration value="OTG- Commerciële Parkings"/>
          <xsd:enumeration value="OTG- Aires de Repos"/>
          <xsd:enumeration value="OTG- Marches ADEPS"/>
        </xsd:restriction>
      </xsd:simpleType>
    </xsd:element>
    <xsd:element name="Stakeholders" ma:index="14" nillable="true" ma:displayName="Stakeholders" ma:default="Coca-Cola" ma:internalName="Stakeholders">
      <xsd:complexType>
        <xsd:complexContent>
          <xsd:extension base="dms:MultiChoiceFillIn">
            <xsd:sequence>
              <xsd:element name="Value" maxOccurs="unbounded" minOccurs="0" nillable="true">
                <xsd:simpleType>
                  <xsd:union memberTypes="dms:Text">
                    <xsd:simpleType>
                      <xsd:restriction base="dms:Choice">
                        <xsd:enumeration value="Coca-Cola"/>
                        <xsd:enumeration value="PepsiCo"/>
                        <xsd:enumeration value="AB Inbev"/>
                        <xsd:enumeration value="Alken Maes"/>
                        <xsd:enumeration value="Nestlé"/>
                        <xsd:enumeration value="Renewi"/>
                        <xsd:enumeration value="Cogetrina"/>
                        <xsd:enumeration value="Suez"/>
                        <xsd:enumeration value="Vanheede"/>
                        <xsd:enumeration value="Indaver"/>
                      </xsd:restriction>
                    </xsd:simpleType>
                  </xsd:union>
                </xsd:simpleType>
              </xsd:element>
            </xsd:sequence>
          </xsd:extension>
        </xsd:complexContent>
      </xsd:complexType>
    </xsd:element>
    <xsd:element name="Project_x0020_Status" ma:index="15" nillable="true" ma:displayName="Project Status" ma:default="Initiative" ma:format="Dropdown" ma:internalName="Project_x0020_Status">
      <xsd:simpleType>
        <xsd:restriction base="dms:Choice">
          <xsd:enumeration value="Initiative"/>
          <xsd:enumeration value="Ongoing"/>
          <xsd:enumeration value="Completed"/>
          <xsd:enumeration value="On Hold"/>
          <xsd:enumeration value="Canceled"/>
        </xsd:restriction>
      </xsd:simpleType>
    </xsd:element>
    <xsd:element name="Region" ma:index="16" nillable="true" ma:displayName="Region" ma:default="All" ma:format="Dropdown" ma:internalName="Region">
      <xsd:simpleType>
        <xsd:restriction base="dms:Choice">
          <xsd:enumeration value="All"/>
          <xsd:enumeration value="Vl"/>
          <xsd:enumeration value="Wa"/>
          <xsd:enumeration value="Bxl"/>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e403bb6-39ca-450c-8b50-8ef7b8b906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d2d6a2-3b4f-4cee-81a4-4399f10a90ea"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a6e36a3f-2950-4f6f-a748-a4a53145fe14}" ma:internalName="TaxCatchAll" ma:showField="CatchAllData" ma:web="53d2d6a2-3b4f-4cee-81a4-4399f10a9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3d2d6a2-3b4f-4cee-81a4-4399f10a90ea">
      <UserInfo>
        <DisplayName>Materiaalrecuperatie Visitors</DisplayName>
        <AccountId>167</AccountId>
        <AccountType/>
      </UserInfo>
      <UserInfo>
        <DisplayName>Kim Vander Auwera</DisplayName>
        <AccountId>32</AccountId>
        <AccountType/>
      </UserInfo>
      <UserInfo>
        <DisplayName>Validate config Team Members (Project Web App Synchronized)</DisplayName>
        <AccountId>47</AccountId>
        <AccountType/>
      </UserInfo>
      <UserInfo>
        <DisplayName>BI implementatie Visitors</DisplayName>
        <AccountId>185</AccountId>
        <AccountType/>
      </UserInfo>
      <UserInfo>
        <DisplayName>Team Leads for Project Web App</DisplayName>
        <AccountId>16</AccountId>
        <AccountType/>
      </UserInfo>
      <UserInfo>
        <DisplayName>Resource Managers for Project Web App</DisplayName>
        <AccountId>15</AccountId>
        <AccountType/>
      </UserInfo>
      <UserInfo>
        <DisplayName>Dominique Siplet</DisplayName>
        <AccountId>382</AccountId>
        <AccountType/>
      </UserInfo>
    </SharedWithUsers>
    <Doelgroep xmlns="0467d8f7-3f3d-498a-935b-d33ee4b810d1">Sports clubs</Doelgroep>
    <Stakeholders xmlns="0467d8f7-3f3d-498a-935b-d33ee4b810d1">
      <Value>Coca-Cola</Value>
    </Stakeholders>
    <Region xmlns="0467d8f7-3f3d-498a-935b-d33ee4b810d1">All</Region>
    <Tasks xmlns="a9f35012-eecc-494d-91b0-7e0ad8c019e4" xsi:nil="true"/>
    <Doc_x002e_Category xmlns="0467d8f7-3f3d-498a-935b-d33ee4b810d1">Standards</Doc_x002e_Category>
    <Commentaar xmlns="d81d603b-3745-4bc7-8dda-72247a707773" xsi:nil="true"/>
    <Project_x0020_Status xmlns="0467d8f7-3f3d-498a-935b-d33ee4b810d1">Initiative</Project_x0020_Status>
    <lcf76f155ced4ddcb4097134ff3c332f xmlns="0467d8f7-3f3d-498a-935b-d33ee4b810d1">
      <Terms xmlns="http://schemas.microsoft.com/office/infopath/2007/PartnerControls"/>
    </lcf76f155ced4ddcb4097134ff3c332f>
    <TaxCatchAll xmlns="53d2d6a2-3b4f-4cee-81a4-4399f10a90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DE23C-49E5-419F-9838-B849C4C3E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35012-eecc-494d-91b0-7e0ad8c019e4"/>
    <ds:schemaRef ds:uri="d81d603b-3745-4bc7-8dda-72247a707773"/>
    <ds:schemaRef ds:uri="0467d8f7-3f3d-498a-935b-d33ee4b810d1"/>
    <ds:schemaRef ds:uri="53d2d6a2-3b4f-4cee-81a4-4399f10a9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64732-4F8D-4DC6-9DC0-BD71D9D67C03}">
  <ds:schemaRefs>
    <ds:schemaRef ds:uri="http://schemas.microsoft.com/office/2006/metadata/properties"/>
    <ds:schemaRef ds:uri="http://schemas.microsoft.com/office/infopath/2007/PartnerControls"/>
    <ds:schemaRef ds:uri="53d2d6a2-3b4f-4cee-81a4-4399f10a90ea"/>
    <ds:schemaRef ds:uri="0467d8f7-3f3d-498a-935b-d33ee4b810d1"/>
    <ds:schemaRef ds:uri="a9f35012-eecc-494d-91b0-7e0ad8c019e4"/>
    <ds:schemaRef ds:uri="d81d603b-3745-4bc7-8dda-72247a707773"/>
  </ds:schemaRefs>
</ds:datastoreItem>
</file>

<file path=customXml/itemProps3.xml><?xml version="1.0" encoding="utf-8"?>
<ds:datastoreItem xmlns:ds="http://schemas.openxmlformats.org/officeDocument/2006/customXml" ds:itemID="{2A489D58-7CD8-4643-9919-2B97CD27A7B1}">
  <ds:schemaRefs>
    <ds:schemaRef ds:uri="http://schemas.openxmlformats.org/officeDocument/2006/bibliography"/>
  </ds:schemaRefs>
</ds:datastoreItem>
</file>

<file path=customXml/itemProps4.xml><?xml version="1.0" encoding="utf-8"?>
<ds:datastoreItem xmlns:ds="http://schemas.openxmlformats.org/officeDocument/2006/customXml" ds:itemID="{528808A6-9BC5-4B2E-AB08-B86F5A3B0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3364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Proposition d’approche des déchets d’emballages médicaux et hospitaliers - Better safe than sorry</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Approche des déchets d’emballages médicaux et hospitaliers
Better safe than sorry</dc:title>
  <dc:subject/>
  <dc:creator>Adriaan Lowet</dc:creator>
  <cp:keywords/>
  <dc:description/>
  <cp:lastModifiedBy>Greet Hofman</cp:lastModifiedBy>
  <cp:revision>4</cp:revision>
  <dcterms:created xsi:type="dcterms:W3CDTF">2022-03-18T09:12:00Z</dcterms:created>
  <dcterms:modified xsi:type="dcterms:W3CDTF">2022-06-27T09:29:00Z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0x010100BFAC5E4F95BC774BAFE5175EE0329927</vt:lpwstr>
  </property>
  <property fmtid="{D5CDD505-2E9C-101B-9397-08002B2CF9AE}" pid="3" name="MediaServiceImageTags">
    <vt:lpwstr/>
  </property>
</Properties>
</file>